
<file path=[Content_Types].xml><?xml version="1.0" encoding="utf-8"?>
<Types xmlns="http://schemas.openxmlformats.org/package/2006/content-types">
  <Default Extension="tiff" ContentType="image/tif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8613B1">
      <w:pPr>
        <w:spacing w:line="360" w:lineRule="auto"/>
        <w:rPr>
          <w:rFonts w:ascii="Times New Roman Regular" w:hAnsi="Times New Roman Regular" w:cs="Times New Roman Regular"/>
          <w:sz w:val="24"/>
          <w:szCs w:val="32"/>
        </w:rPr>
      </w:pPr>
      <w:r>
        <w:rPr>
          <w:rFonts w:ascii="Times New Roman Regular" w:hAnsi="Times New Roman Regular" w:cs="Times New Roman Regular"/>
          <w:sz w:val="24"/>
          <w:szCs w:val="32"/>
        </w:rPr>
        <w:t xml:space="preserve">Supplementary Information </w:t>
      </w:r>
    </w:p>
    <w:p w14:paraId="40AE4BA3">
      <w:pPr>
        <w:spacing w:line="360" w:lineRule="auto"/>
        <w:rPr>
          <w:rFonts w:ascii="Times New Roman Regular" w:hAnsi="Times New Roman Regular" w:cs="Times New Roman Regular"/>
          <w:sz w:val="24"/>
          <w:szCs w:val="32"/>
        </w:rPr>
      </w:pPr>
    </w:p>
    <w:p w14:paraId="799879FD">
      <w:pPr>
        <w:spacing w:line="360" w:lineRule="auto"/>
        <w:rPr>
          <w:rFonts w:ascii="Times New Roman Regular" w:hAnsi="Times New Roman Regular" w:cs="Times New Roman Regular"/>
          <w:sz w:val="24"/>
          <w:szCs w:val="32"/>
        </w:rPr>
      </w:pPr>
      <w:r>
        <w:rPr>
          <w:rFonts w:ascii="Times New Roman Regular" w:hAnsi="Times New Roman Regular" w:cs="Times New Roman Regular"/>
          <w:sz w:val="24"/>
          <w:szCs w:val="32"/>
        </w:rPr>
        <w:t>Single-Cell and Integrative Analyses Uncover</w:t>
      </w:r>
      <w:r>
        <w:rPr>
          <w:rFonts w:hint="eastAsia" w:ascii="Times New Roman Regular" w:hAnsi="Times New Roman Regular" w:cs="Times New Roman Regular"/>
          <w:sz w:val="24"/>
          <w:szCs w:val="32"/>
        </w:rPr>
        <w:t xml:space="preserve"> </w:t>
      </w:r>
      <w:r>
        <w:rPr>
          <w:rFonts w:ascii="Times New Roman Regular" w:hAnsi="Times New Roman Regular" w:cs="Times New Roman Regular"/>
          <w:sz w:val="24"/>
          <w:szCs w:val="32"/>
        </w:rPr>
        <w:t>Therapeutic Potential of RFX1-Mediated Cuproptosis in PitNETs</w:t>
      </w:r>
    </w:p>
    <w:p w14:paraId="698CCD94">
      <w:pPr>
        <w:rPr>
          <w:rFonts w:ascii="Times New Roman" w:hAnsi="Times New Roman" w:cs="Times New Roman"/>
          <w:lang w:eastAsia="de-DE" w:bidi="en-US"/>
        </w:rPr>
      </w:pPr>
    </w:p>
    <w:p w14:paraId="2BA26ABC">
      <w:pPr>
        <w:pStyle w:val="11"/>
        <w:rPr>
          <w:rFonts w:eastAsia="黑体"/>
          <w:color w:val="auto"/>
        </w:rPr>
      </w:pPr>
    </w:p>
    <w:p w14:paraId="10E56E24">
      <w:pPr>
        <w:snapToGrid w:val="0"/>
        <w:spacing w:line="360" w:lineRule="auto"/>
        <w:ind w:right="281" w:rightChars="134"/>
        <w:rPr>
          <w:rFonts w:ascii="Times New Roman Regular" w:hAnsi="Times New Roman Regular" w:eastAsia="黑体" w:cs="Times New Roman Regular"/>
          <w:sz w:val="24"/>
        </w:rPr>
      </w:pPr>
    </w:p>
    <w:p w14:paraId="4CBF0543">
      <w:pPr>
        <w:widowControl/>
        <w:spacing w:after="120" w:line="360" w:lineRule="auto"/>
        <w:rPr>
          <w:rFonts w:ascii="Times New Roman Regular" w:hAnsi="Times New Roman Regular" w:cs="Times New Roman Regular"/>
          <w:sz w:val="24"/>
          <w:highlight w:val="yellow"/>
          <w:lang w:eastAsia="de-CH"/>
        </w:rPr>
      </w:pPr>
      <w:r>
        <w:rPr>
          <w:rFonts w:ascii="Times New Roman Regular" w:hAnsi="Times New Roman Regular" w:cs="Times New Roman Regular"/>
          <w:sz w:val="24"/>
        </w:rPr>
        <w:t xml:space="preserve">Number of supplementary figures: </w:t>
      </w:r>
      <w:r>
        <w:rPr>
          <w:rFonts w:hint="eastAsia" w:ascii="Times New Roman Regular" w:hAnsi="Times New Roman Regular" w:cs="Times New Roman Regular"/>
          <w:sz w:val="24"/>
          <w:lang w:val="en-US" w:eastAsia="zh-CN"/>
        </w:rPr>
        <w:t>4</w:t>
      </w:r>
    </w:p>
    <w:p w14:paraId="5739BF4B">
      <w:pPr>
        <w:widowControl/>
        <w:spacing w:after="120" w:line="360" w:lineRule="auto"/>
        <w:rPr>
          <w:rFonts w:ascii="Times New Roman Regular" w:hAnsi="Times New Roman Regular" w:cs="Times New Roman Regular"/>
          <w:sz w:val="24"/>
          <w:lang w:eastAsia="de-CH"/>
        </w:rPr>
      </w:pPr>
      <w:r>
        <w:rPr>
          <w:rFonts w:ascii="Times New Roman Regular" w:hAnsi="Times New Roman Regular" w:cs="Times New Roman Regular"/>
          <w:sz w:val="24"/>
        </w:rPr>
        <w:t xml:space="preserve">Number of supplementary tables: </w:t>
      </w:r>
      <w:r>
        <w:rPr>
          <w:rFonts w:hint="eastAsia" w:ascii="Times New Roman Regular" w:hAnsi="Times New Roman Regular" w:cs="Times New Roman Regular"/>
          <w:sz w:val="24"/>
        </w:rPr>
        <w:t>2</w:t>
      </w:r>
    </w:p>
    <w:p w14:paraId="5D6C85EC">
      <w:pPr>
        <w:snapToGrid w:val="0"/>
        <w:spacing w:line="360" w:lineRule="auto"/>
        <w:ind w:right="281" w:rightChars="134"/>
        <w:rPr>
          <w:rFonts w:ascii="Times New Roman Regular" w:hAnsi="Times New Roman Regular" w:eastAsia="黑体" w:cs="Times New Roman Regular"/>
          <w:sz w:val="24"/>
        </w:rPr>
      </w:pPr>
    </w:p>
    <w:p w14:paraId="275A9B3B">
      <w:pPr>
        <w:spacing w:line="360" w:lineRule="auto"/>
        <w:rPr>
          <w:rFonts w:ascii="Times New Roman Regular" w:hAnsi="Times New Roman Regular" w:cs="Times New Roman Regular"/>
          <w:sz w:val="24"/>
          <w:szCs w:val="32"/>
        </w:rPr>
      </w:pPr>
    </w:p>
    <w:p w14:paraId="5A0200DF">
      <w:pPr>
        <w:spacing w:line="360" w:lineRule="auto"/>
        <w:rPr>
          <w:rFonts w:ascii="Times New Roman Regular" w:hAnsi="Times New Roman Regular" w:cs="Times New Roman Regular"/>
          <w:sz w:val="24"/>
          <w:szCs w:val="32"/>
        </w:rPr>
      </w:pPr>
    </w:p>
    <w:p w14:paraId="19E84E12">
      <w:pPr>
        <w:spacing w:line="360" w:lineRule="auto"/>
        <w:rPr>
          <w:rFonts w:ascii="Times New Roman Regular" w:hAnsi="Times New Roman Regular" w:cs="Times New Roman Regular"/>
          <w:sz w:val="24"/>
          <w:szCs w:val="32"/>
        </w:rPr>
      </w:pPr>
    </w:p>
    <w:p w14:paraId="0007C0F7">
      <w:pPr>
        <w:spacing w:line="360" w:lineRule="auto"/>
        <w:rPr>
          <w:rFonts w:ascii="Times New Roman Regular" w:hAnsi="Times New Roman Regular" w:cs="Times New Roman Regular"/>
          <w:sz w:val="24"/>
          <w:szCs w:val="32"/>
        </w:rPr>
      </w:pPr>
    </w:p>
    <w:p w14:paraId="44826E97">
      <w:pPr>
        <w:spacing w:line="360" w:lineRule="auto"/>
        <w:rPr>
          <w:rFonts w:ascii="Times New Roman Regular" w:hAnsi="Times New Roman Regular" w:cs="Times New Roman Regular"/>
          <w:sz w:val="24"/>
          <w:szCs w:val="32"/>
        </w:rPr>
      </w:pPr>
    </w:p>
    <w:p w14:paraId="5AD96CCC">
      <w:pPr>
        <w:spacing w:line="360" w:lineRule="auto"/>
        <w:rPr>
          <w:rFonts w:ascii="Times New Roman Regular" w:hAnsi="Times New Roman Regular" w:cs="Times New Roman Regular"/>
          <w:sz w:val="24"/>
          <w:szCs w:val="32"/>
        </w:rPr>
      </w:pPr>
    </w:p>
    <w:p w14:paraId="622FC2B2">
      <w:pPr>
        <w:spacing w:line="360" w:lineRule="auto"/>
        <w:rPr>
          <w:rFonts w:ascii="Times New Roman Regular" w:hAnsi="Times New Roman Regular" w:cs="Times New Roman Regular"/>
          <w:sz w:val="24"/>
          <w:szCs w:val="32"/>
        </w:rPr>
      </w:pPr>
    </w:p>
    <w:p w14:paraId="5D4D18C7">
      <w:pPr>
        <w:spacing w:line="360" w:lineRule="auto"/>
        <w:rPr>
          <w:rFonts w:ascii="Times New Roman Regular" w:hAnsi="Times New Roman Regular" w:cs="Times New Roman Regular"/>
          <w:sz w:val="24"/>
          <w:szCs w:val="32"/>
        </w:rPr>
      </w:pPr>
    </w:p>
    <w:p w14:paraId="71BC7CA1">
      <w:pPr>
        <w:spacing w:line="360" w:lineRule="auto"/>
        <w:rPr>
          <w:rFonts w:ascii="Times New Roman Regular" w:hAnsi="Times New Roman Regular" w:cs="Times New Roman Regular"/>
          <w:sz w:val="24"/>
          <w:szCs w:val="32"/>
        </w:rPr>
      </w:pPr>
    </w:p>
    <w:p w14:paraId="670633BB">
      <w:pPr>
        <w:spacing w:line="360" w:lineRule="auto"/>
        <w:rPr>
          <w:rFonts w:ascii="Times New Roman Regular" w:hAnsi="Times New Roman Regular" w:cs="Times New Roman Regular"/>
          <w:sz w:val="24"/>
          <w:szCs w:val="32"/>
        </w:rPr>
      </w:pPr>
    </w:p>
    <w:p w14:paraId="73FB87E3">
      <w:pPr>
        <w:spacing w:line="360" w:lineRule="auto"/>
        <w:rPr>
          <w:rFonts w:ascii="Times New Roman Regular" w:hAnsi="Times New Roman Regular" w:cs="Times New Roman Regular"/>
          <w:sz w:val="24"/>
          <w:szCs w:val="32"/>
        </w:rPr>
      </w:pPr>
    </w:p>
    <w:p w14:paraId="13991271">
      <w:pPr>
        <w:spacing w:line="360" w:lineRule="auto"/>
        <w:rPr>
          <w:rFonts w:ascii="Times New Roman Regular" w:hAnsi="Times New Roman Regular" w:cs="Times New Roman Regular"/>
          <w:sz w:val="24"/>
          <w:szCs w:val="32"/>
        </w:rPr>
      </w:pPr>
    </w:p>
    <w:p w14:paraId="72654001">
      <w:pPr>
        <w:widowControl/>
        <w:tabs>
          <w:tab w:val="left" w:pos="1005"/>
        </w:tabs>
        <w:spacing w:line="360" w:lineRule="auto"/>
        <w:rPr>
          <w:rFonts w:ascii="Times New Roman" w:hAnsi="Times New Roman" w:cs="Times New Roman"/>
          <w:sz w:val="24"/>
          <w:highlight w:val="yellow"/>
        </w:rPr>
      </w:pPr>
      <w:r>
        <w:rPr>
          <w:rFonts w:hint="eastAsia" w:ascii="Times New Roman" w:hAnsi="Times New Roman" w:cs="Times New Roman"/>
          <w:sz w:val="24"/>
          <w:highlight w:val="yellow"/>
        </w:rPr>
        <w:t>Supplementary Fig</w:t>
      </w:r>
      <w:r>
        <w:rPr>
          <w:rFonts w:ascii="Times New Roman" w:hAnsi="Times New Roman" w:cs="Times New Roman"/>
          <w:sz w:val="24"/>
          <w:highlight w:val="yellow"/>
        </w:rPr>
        <w:t>.</w:t>
      </w:r>
      <w:r>
        <w:rPr>
          <w:rFonts w:hint="eastAsia" w:ascii="Times New Roman" w:hAnsi="Times New Roman" w:cs="Times New Roman"/>
          <w:sz w:val="24"/>
          <w:highlight w:val="yellow"/>
        </w:rPr>
        <w:t xml:space="preserve"> 1</w:t>
      </w:r>
    </w:p>
    <w:p w14:paraId="31556717">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(A) Chromosomal distribution of CRGs.</w:t>
      </w:r>
    </w:p>
    <w:p w14:paraId="3460B998">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(B) Box plots depicting the expression profiles CRGs.</w:t>
      </w:r>
    </w:p>
    <w:p w14:paraId="7DBCC6B2">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 xml:space="preserve">(C) Box plots depicting the differential expression of CRGs between the two clusters </w:t>
      </w:r>
    </w:p>
    <w:p w14:paraId="4E1F89A2">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(D) Bar plot representing the relative proportions of 22 infiltrated immune cell types in the two clusters.</w:t>
      </w:r>
    </w:p>
    <w:p w14:paraId="2AEFE624">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(E-H) Consensus matrix for clustering analysis at k=2, 3, 4, 5.</w:t>
      </w:r>
    </w:p>
    <w:p w14:paraId="505CC832">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(I) Cumulative distribution function (CDF) curves for cluster stability assessment.</w:t>
      </w:r>
    </w:p>
    <w:p w14:paraId="12790D32">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(J) Principal component analysis (PCA) illustrating the distribution of two distinct molecular subtypes.</w:t>
      </w:r>
    </w:p>
    <w:p w14:paraId="48FBE146">
      <w:pPr>
        <w:spacing w:line="360" w:lineRule="auto"/>
        <w:rPr>
          <w:rFonts w:ascii="Times New Roman Regular" w:hAnsi="Times New Roman Regular" w:cs="Times New Roman Regular"/>
          <w:sz w:val="24"/>
          <w:szCs w:val="32"/>
        </w:rPr>
      </w:pPr>
      <w:r>
        <w:rPr>
          <w:rFonts w:ascii="Times New Roman Regular" w:hAnsi="Times New Roman Regular" w:cs="Times New Roman Regular"/>
          <w:sz w:val="24"/>
          <w:szCs w:val="32"/>
        </w:rPr>
        <w:drawing>
          <wp:inline distT="0" distB="0" distL="114300" distR="114300">
            <wp:extent cx="5272405" cy="4462780"/>
            <wp:effectExtent l="0" t="0" r="0" b="0"/>
            <wp:docPr id="4" name="图片 4" descr="Supplementary_figure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upplementary_figure1_01"/>
                    <pic:cNvPicPr>
                      <a:picLocks noChangeAspect="1"/>
                    </pic:cNvPicPr>
                  </pic:nvPicPr>
                  <pic:blipFill>
                    <a:blip r:embed="rId5"/>
                    <a:srcRect b="33346"/>
                    <a:stretch>
                      <a:fillRect/>
                    </a:stretch>
                  </pic:blipFill>
                  <pic:spPr>
                    <a:xfrm>
                      <a:off x="0" y="0"/>
                      <a:ext cx="5272405" cy="4462780"/>
                    </a:xfrm>
                    <a:prstGeom prst="rect">
                      <a:avLst/>
                    </a:prstGeom>
                  </pic:spPr>
                </pic:pic>
              </a:graphicData>
            </a:graphic>
          </wp:inline>
        </w:drawing>
      </w:r>
    </w:p>
    <w:p w14:paraId="01FE176B">
      <w:pPr>
        <w:spacing w:line="360" w:lineRule="auto"/>
        <w:rPr>
          <w:rFonts w:ascii="Times New Roman Regular" w:hAnsi="Times New Roman Regular" w:cs="Times New Roman Regular"/>
          <w:sz w:val="24"/>
          <w:szCs w:val="32"/>
        </w:rPr>
      </w:pPr>
    </w:p>
    <w:p w14:paraId="0BD5274F">
      <w:pPr>
        <w:spacing w:line="360" w:lineRule="auto"/>
        <w:rPr>
          <w:rFonts w:ascii="Times New Roman Regular" w:hAnsi="Times New Roman Regular" w:cs="Times New Roman Regular"/>
          <w:sz w:val="24"/>
          <w:szCs w:val="32"/>
        </w:rPr>
      </w:pPr>
    </w:p>
    <w:p w14:paraId="0B51C777">
      <w:pPr>
        <w:spacing w:line="360" w:lineRule="auto"/>
        <w:rPr>
          <w:rFonts w:ascii="Times New Roman Regular" w:hAnsi="Times New Roman Regular" w:cs="Times New Roman Regular"/>
          <w:sz w:val="24"/>
          <w:szCs w:val="32"/>
        </w:rPr>
      </w:pPr>
    </w:p>
    <w:p w14:paraId="5B5DC875">
      <w:pPr>
        <w:spacing w:line="360" w:lineRule="auto"/>
        <w:rPr>
          <w:rFonts w:ascii="Times New Roman Regular" w:hAnsi="Times New Roman Regular" w:cs="Times New Roman Regular"/>
          <w:sz w:val="24"/>
          <w:szCs w:val="32"/>
        </w:rPr>
      </w:pPr>
    </w:p>
    <w:p w14:paraId="37E00FD7">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highlight w:val="yellow"/>
        </w:rPr>
        <w:t>Supplementary Fig</w:t>
      </w:r>
      <w:r>
        <w:rPr>
          <w:rFonts w:ascii="Times New Roman" w:hAnsi="Times New Roman" w:cs="Times New Roman"/>
          <w:sz w:val="24"/>
          <w:highlight w:val="yellow"/>
        </w:rPr>
        <w:t>.</w:t>
      </w:r>
      <w:r>
        <w:rPr>
          <w:rFonts w:hint="eastAsia" w:ascii="Times New Roman" w:hAnsi="Times New Roman" w:cs="Times New Roman"/>
          <w:sz w:val="24"/>
          <w:highlight w:val="yellow"/>
        </w:rPr>
        <w:t xml:space="preserve"> 2.</w:t>
      </w:r>
      <w:r>
        <w:rPr>
          <w:rFonts w:hint="eastAsia" w:ascii="Times New Roman" w:hAnsi="Times New Roman" w:cs="Times New Roman"/>
          <w:sz w:val="24"/>
        </w:rPr>
        <w:t xml:space="preserve"> Comprehensive Analysis of Cuproptosis-Related Gene Expression and Immune Characteristics Reveals Distinct Molecular Clusters in Invasive PitNET cells.</w:t>
      </w:r>
    </w:p>
    <w:p w14:paraId="29CC8E2A">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(A) Heatmap illustrating the expression patterns of differentially expressed CRGs in invasive and non-invasive PitNET groups.</w:t>
      </w:r>
    </w:p>
    <w:p w14:paraId="277699AE">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(B) Correlation analysis of differentially expressed CRGs; red and green denote positive and negative correlations, respectively, with pie chart area proportional to correlation coefficients.</w:t>
      </w:r>
    </w:p>
    <w:p w14:paraId="0BF27970">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(C) Circos plot visualizing gene relationships among differentially expressed CRGs; line darkness indicates correlation significance.</w:t>
      </w:r>
    </w:p>
    <w:p w14:paraId="70296D44">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(D) Bar plot representing the relative proportions of infiltrated immune cells in invasive and non-invasive PitNET groups.</w:t>
      </w:r>
    </w:p>
    <w:p w14:paraId="0051B0A9">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(E) Box plots demonstrating differences in immune infiltration between invasive and non-invasive PitNET groups.</w:t>
      </w:r>
    </w:p>
    <w:p w14:paraId="58F2E6AF">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(F) Correlation analysis between differentially expressed CRGs and infiltrated immune cells.</w:t>
      </w:r>
    </w:p>
    <w:p w14:paraId="7988B69E">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(G) Heatmaps illustrating the expression patterns of CRGs in two cuproptosis clusters.</w:t>
      </w:r>
    </w:p>
    <w:p w14:paraId="0CD2BAF8">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(H) Box plots highlighting differences in immune infiltration levels between the two clusters.</w:t>
      </w:r>
    </w:p>
    <w:p w14:paraId="0B5B8168">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 xml:space="preserve"> (I) KEGG pathway enrichment analysis revealing biological processes in the two cuproptosis clusters.</w:t>
      </w:r>
    </w:p>
    <w:p w14:paraId="508026EE">
      <w:pPr>
        <w:widowControl/>
        <w:tabs>
          <w:tab w:val="left" w:pos="1005"/>
        </w:tabs>
        <w:spacing w:line="360" w:lineRule="auto"/>
        <w:rPr>
          <w:rFonts w:ascii="Times New Roman" w:hAnsi="Times New Roman" w:cs="Times New Roman"/>
          <w:sz w:val="24"/>
        </w:rPr>
      </w:pPr>
    </w:p>
    <w:p w14:paraId="5F62627C">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drawing>
          <wp:inline distT="0" distB="0" distL="114300" distR="114300">
            <wp:extent cx="5241290" cy="6656705"/>
            <wp:effectExtent l="0" t="0" r="1270" b="3175"/>
            <wp:docPr id="2" name="图片 2" descr="E:/桌面/20250113-铜死亡文章撰写/20251103-重新写稿组图/修改后的figure/figure2_01.tiffigure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桌面/20250113-铜死亡文章撰写/20251103-重新写稿组图/修改后的figure/figure2_01.tiffigure2_01"/>
                    <pic:cNvPicPr>
                      <a:picLocks noChangeAspect="1"/>
                    </pic:cNvPicPr>
                  </pic:nvPicPr>
                  <pic:blipFill>
                    <a:blip r:embed="rId6"/>
                    <a:srcRect l="4" r="4"/>
                    <a:stretch>
                      <a:fillRect/>
                    </a:stretch>
                  </pic:blipFill>
                  <pic:spPr>
                    <a:xfrm>
                      <a:off x="0" y="0"/>
                      <a:ext cx="5241290" cy="6656705"/>
                    </a:xfrm>
                    <a:prstGeom prst="rect">
                      <a:avLst/>
                    </a:prstGeom>
                  </pic:spPr>
                </pic:pic>
              </a:graphicData>
            </a:graphic>
          </wp:inline>
        </w:drawing>
      </w:r>
    </w:p>
    <w:p w14:paraId="5C6909B5">
      <w:pPr>
        <w:widowControl/>
        <w:tabs>
          <w:tab w:val="left" w:pos="1005"/>
        </w:tabs>
        <w:spacing w:line="360" w:lineRule="auto"/>
        <w:rPr>
          <w:rFonts w:ascii="Times New Roman" w:hAnsi="Times New Roman" w:cs="Times New Roman"/>
          <w:sz w:val="24"/>
        </w:rPr>
      </w:pPr>
    </w:p>
    <w:p w14:paraId="44A65CB7">
      <w:pPr>
        <w:widowControl/>
        <w:tabs>
          <w:tab w:val="left" w:pos="1005"/>
        </w:tabs>
        <w:spacing w:line="360" w:lineRule="auto"/>
        <w:rPr>
          <w:rFonts w:ascii="Times New Roman" w:hAnsi="Times New Roman" w:cs="Times New Roman"/>
          <w:sz w:val="24"/>
        </w:rPr>
      </w:pPr>
    </w:p>
    <w:p w14:paraId="3D3FAAE7">
      <w:pPr>
        <w:widowControl/>
        <w:tabs>
          <w:tab w:val="left" w:pos="1005"/>
        </w:tabs>
        <w:spacing w:line="360" w:lineRule="auto"/>
        <w:rPr>
          <w:rFonts w:ascii="Times New Roman" w:hAnsi="Times New Roman" w:cs="Times New Roman"/>
          <w:sz w:val="24"/>
        </w:rPr>
      </w:pPr>
    </w:p>
    <w:p w14:paraId="4E8C3243">
      <w:pPr>
        <w:widowControl/>
        <w:tabs>
          <w:tab w:val="left" w:pos="1005"/>
        </w:tabs>
        <w:spacing w:line="360" w:lineRule="auto"/>
        <w:rPr>
          <w:rFonts w:ascii="Times New Roman" w:hAnsi="Times New Roman" w:cs="Times New Roman"/>
          <w:sz w:val="24"/>
        </w:rPr>
      </w:pPr>
    </w:p>
    <w:p w14:paraId="73712614">
      <w:pPr>
        <w:widowControl/>
        <w:tabs>
          <w:tab w:val="left" w:pos="1005"/>
        </w:tabs>
        <w:spacing w:line="360" w:lineRule="auto"/>
        <w:rPr>
          <w:rFonts w:ascii="Times New Roman" w:hAnsi="Times New Roman" w:cs="Times New Roman"/>
          <w:sz w:val="24"/>
        </w:rPr>
      </w:pPr>
    </w:p>
    <w:p w14:paraId="56CEC320">
      <w:pPr>
        <w:widowControl/>
        <w:tabs>
          <w:tab w:val="left" w:pos="1005"/>
        </w:tabs>
        <w:spacing w:line="360" w:lineRule="auto"/>
        <w:rPr>
          <w:rFonts w:ascii="Times New Roman" w:hAnsi="Times New Roman" w:cs="Times New Roman"/>
          <w:sz w:val="24"/>
        </w:rPr>
      </w:pPr>
    </w:p>
    <w:p w14:paraId="55209830">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highlight w:val="yellow"/>
        </w:rPr>
        <w:t>Supplementary Fig</w:t>
      </w:r>
      <w:r>
        <w:rPr>
          <w:rFonts w:ascii="Times New Roman" w:hAnsi="Times New Roman" w:cs="Times New Roman"/>
          <w:sz w:val="24"/>
          <w:highlight w:val="yellow"/>
        </w:rPr>
        <w:t>.</w:t>
      </w:r>
      <w:r>
        <w:rPr>
          <w:rFonts w:hint="eastAsia" w:ascii="Times New Roman" w:hAnsi="Times New Roman" w:cs="Times New Roman"/>
          <w:sz w:val="24"/>
          <w:highlight w:val="yellow"/>
        </w:rPr>
        <w:t xml:space="preserve"> 3.</w:t>
      </w:r>
      <w:r>
        <w:rPr>
          <w:rFonts w:hint="eastAsia" w:ascii="Times New Roman" w:hAnsi="Times New Roman" w:cs="Times New Roman"/>
          <w:sz w:val="24"/>
        </w:rPr>
        <w:t xml:space="preserve"> Co-expression network analysis of differentially expressed genes in invasive PitNET and two cuproptosis clusters.</w:t>
      </w:r>
    </w:p>
    <w:p w14:paraId="5E7B430D">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(A) Selection of the optimal soft threshold (power) for network construction.</w:t>
      </w:r>
    </w:p>
    <w:p w14:paraId="39C82CDA">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(B) Clustering dendrogram of genes, with distinct co-expression modules color-coded.</w:t>
      </w:r>
    </w:p>
    <w:p w14:paraId="4F6D8CF3">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(C) Hierarchical clustering of module eigengenes.</w:t>
      </w:r>
    </w:p>
    <w:p w14:paraId="38C51361">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(D) Heatmap depicting correlations among the six identified modules.</w:t>
      </w:r>
    </w:p>
    <w:p w14:paraId="7B85468D">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(E) Correlation matrix between module eigengenes and clinical status; rows represent modules, and columns represent clinical variables.</w:t>
      </w:r>
    </w:p>
    <w:p w14:paraId="42F09904">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(F) Scatter plot illustrating the relationship between module membership in the turquoise module and gene significance for invasive PitNET.</w:t>
      </w:r>
    </w:p>
    <w:p w14:paraId="232B09CB">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(G) Determination of the optimal soft threshold for network construction.</w:t>
      </w:r>
    </w:p>
    <w:p w14:paraId="45237455">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(H) Gene clustering dendrogram, with distinct co-expression modules represented by different colors.</w:t>
      </w:r>
    </w:p>
    <w:p w14:paraId="7C32B492">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(I) Hierarchical clustering of module eigengenes.</w:t>
      </w:r>
    </w:p>
    <w:p w14:paraId="4046411F">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(J) Heatmap illustrating correlations among the six identified modules.</w:t>
      </w:r>
    </w:p>
    <w:p w14:paraId="623D144E">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(K) Correlation matrix between module eigengenes and clinical status; rows correspond to modules, and columns represent clinical variables.</w:t>
      </w:r>
    </w:p>
    <w:p w14:paraId="5C40F091">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(L) Scatter plot demonstrating the relationship between module membership in the green module and gene significance for Cluster 2.</w:t>
      </w:r>
    </w:p>
    <w:p w14:paraId="4259CAA9">
      <w:pPr>
        <w:widowControl/>
        <w:tabs>
          <w:tab w:val="left" w:pos="1005"/>
        </w:tabs>
        <w:spacing w:line="360" w:lineRule="auto"/>
        <w:rPr>
          <w:rFonts w:ascii="Times New Roman" w:hAnsi="Times New Roman" w:cs="Times New Roman"/>
          <w:sz w:val="24"/>
        </w:rPr>
      </w:pPr>
    </w:p>
    <w:p w14:paraId="09C08306">
      <w:pPr>
        <w:widowControl/>
        <w:tabs>
          <w:tab w:val="left" w:pos="1005"/>
        </w:tabs>
        <w:spacing w:line="360" w:lineRule="auto"/>
        <w:rPr>
          <w:rFonts w:ascii="Times New Roman" w:hAnsi="Times New Roman" w:cs="Times New Roman"/>
          <w:sz w:val="24"/>
        </w:rPr>
      </w:pPr>
    </w:p>
    <w:p w14:paraId="396F378D">
      <w:pPr>
        <w:widowControl/>
        <w:spacing w:line="360" w:lineRule="auto"/>
        <w:jc w:val="left"/>
        <w:textAlignment w:val="center"/>
        <w:rPr>
          <w:rFonts w:ascii="Arial" w:hAnsi="Arial" w:eastAsia="宋体" w:cs="Arial"/>
          <w:color w:val="000000"/>
          <w:kern w:val="0"/>
          <w:sz w:val="22"/>
          <w:szCs w:val="22"/>
          <w:lang w:bidi="ar"/>
        </w:rPr>
      </w:pPr>
      <w:r>
        <w:rPr>
          <w:rFonts w:hint="eastAsia" w:ascii="Times New Roman" w:hAnsi="Times New Roman" w:cs="Times New Roman"/>
          <w:sz w:val="24"/>
        </w:rPr>
        <w:drawing>
          <wp:inline distT="0" distB="0" distL="114300" distR="114300">
            <wp:extent cx="5319395" cy="6755765"/>
            <wp:effectExtent l="0" t="0" r="14605" b="10795"/>
            <wp:docPr id="3" name="图片 3" descr="E:/桌面/20250113-铜死亡文章撰写/20251103-重新写稿组图/修改后的figure/figure3_01.tiffigure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桌面/20250113-铜死亡文章撰写/20251103-重新写稿组图/修改后的figure/figure3_01.tiffigure3_01"/>
                    <pic:cNvPicPr>
                      <a:picLocks noChangeAspect="1"/>
                    </pic:cNvPicPr>
                  </pic:nvPicPr>
                  <pic:blipFill>
                    <a:blip r:embed="rId7"/>
                    <a:srcRect l="4" r="4"/>
                    <a:stretch>
                      <a:fillRect/>
                    </a:stretch>
                  </pic:blipFill>
                  <pic:spPr>
                    <a:xfrm>
                      <a:off x="0" y="0"/>
                      <a:ext cx="5319395" cy="6755765"/>
                    </a:xfrm>
                    <a:prstGeom prst="rect">
                      <a:avLst/>
                    </a:prstGeom>
                  </pic:spPr>
                </pic:pic>
              </a:graphicData>
            </a:graphic>
          </wp:inline>
        </w:drawing>
      </w:r>
    </w:p>
    <w:p w14:paraId="7AB2E2CD">
      <w:pPr>
        <w:widowControl/>
        <w:spacing w:line="360" w:lineRule="auto"/>
        <w:jc w:val="left"/>
        <w:textAlignment w:val="center"/>
        <w:rPr>
          <w:rFonts w:ascii="Arial" w:hAnsi="Arial" w:eastAsia="宋体" w:cs="Arial"/>
          <w:color w:val="000000"/>
          <w:kern w:val="0"/>
          <w:sz w:val="22"/>
          <w:szCs w:val="22"/>
          <w:lang w:bidi="ar"/>
        </w:rPr>
      </w:pPr>
    </w:p>
    <w:p w14:paraId="3BB3D6B9">
      <w:pPr>
        <w:widowControl/>
        <w:spacing w:line="360" w:lineRule="auto"/>
        <w:jc w:val="left"/>
        <w:textAlignment w:val="center"/>
        <w:rPr>
          <w:rFonts w:ascii="Arial" w:hAnsi="Arial" w:eastAsia="宋体" w:cs="Arial"/>
          <w:color w:val="000000"/>
          <w:kern w:val="0"/>
          <w:sz w:val="22"/>
          <w:szCs w:val="22"/>
          <w:lang w:bidi="ar"/>
        </w:rPr>
      </w:pPr>
    </w:p>
    <w:p w14:paraId="7D41419B">
      <w:pPr>
        <w:widowControl/>
        <w:spacing w:line="360" w:lineRule="auto"/>
        <w:jc w:val="left"/>
        <w:textAlignment w:val="center"/>
        <w:rPr>
          <w:rFonts w:ascii="Arial" w:hAnsi="Arial" w:eastAsia="宋体" w:cs="Arial"/>
          <w:color w:val="000000"/>
          <w:kern w:val="0"/>
          <w:sz w:val="22"/>
          <w:szCs w:val="22"/>
          <w:lang w:bidi="ar"/>
        </w:rPr>
      </w:pPr>
    </w:p>
    <w:p w14:paraId="4B7EE5AC">
      <w:pPr>
        <w:widowControl/>
        <w:spacing w:line="360" w:lineRule="auto"/>
        <w:jc w:val="left"/>
        <w:textAlignment w:val="center"/>
        <w:rPr>
          <w:rFonts w:ascii="Arial" w:hAnsi="Arial" w:eastAsia="宋体" w:cs="Arial"/>
          <w:color w:val="000000"/>
          <w:kern w:val="0"/>
          <w:sz w:val="22"/>
          <w:szCs w:val="22"/>
          <w:lang w:bidi="ar"/>
        </w:rPr>
      </w:pPr>
    </w:p>
    <w:p w14:paraId="5E3DD5D1">
      <w:pPr>
        <w:widowControl/>
        <w:spacing w:line="360" w:lineRule="auto"/>
        <w:jc w:val="left"/>
        <w:textAlignment w:val="center"/>
        <w:rPr>
          <w:rFonts w:ascii="Arial" w:hAnsi="Arial" w:eastAsia="宋体" w:cs="Arial"/>
          <w:color w:val="000000"/>
          <w:kern w:val="0"/>
          <w:sz w:val="22"/>
          <w:szCs w:val="22"/>
          <w:lang w:bidi="ar"/>
        </w:rPr>
      </w:pPr>
    </w:p>
    <w:p w14:paraId="0540A712">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highlight w:val="yellow"/>
        </w:rPr>
        <w:t>Supplementary Fig</w:t>
      </w:r>
      <w:r>
        <w:rPr>
          <w:rFonts w:ascii="Times New Roman" w:hAnsi="Times New Roman" w:cs="Times New Roman"/>
          <w:sz w:val="24"/>
          <w:highlight w:val="yellow"/>
        </w:rPr>
        <w:t>.</w:t>
      </w:r>
      <w:r>
        <w:rPr>
          <w:rFonts w:hint="eastAsia" w:ascii="Times New Roman" w:hAnsi="Times New Roman" w:cs="Times New Roman"/>
          <w:sz w:val="24"/>
          <w:highlight w:val="yellow"/>
        </w:rPr>
        <w:t xml:space="preserve"> 4.</w:t>
      </w:r>
      <w:r>
        <w:rPr>
          <w:rFonts w:hint="eastAsia" w:ascii="Times New Roman" w:hAnsi="Times New Roman" w:cs="Times New Roman"/>
          <w:sz w:val="24"/>
        </w:rPr>
        <w:t xml:space="preserve"> RFX1 inhibits PitNET tumor growth in vivo and relates to proliferation markers in clinical samples.</w:t>
      </w:r>
    </w:p>
    <w:p w14:paraId="34D8D80E">
      <w:pPr>
        <w:widowControl/>
        <w:spacing w:line="360" w:lineRule="auto"/>
        <w:jc w:val="left"/>
        <w:textAlignment w:val="center"/>
        <w:rPr>
          <w:rFonts w:hint="eastAsia" w:ascii="Times New Roman" w:hAnsi="Times New Roman" w:cs="Times New Roman"/>
          <w:sz w:val="24"/>
        </w:rPr>
      </w:pPr>
      <w:r>
        <w:rPr>
          <w:rFonts w:hint="eastAsia" w:ascii="Times New Roman" w:hAnsi="Times New Roman" w:cs="Times New Roman"/>
          <w:sz w:val="24"/>
        </w:rPr>
        <w:t xml:space="preserve">(A) Colony formation assay evaluating the proliferative capacity of cells with RFX1 overexpression or knockdown. </w:t>
      </w:r>
    </w:p>
    <w:p w14:paraId="3F60F325">
      <w:pPr>
        <w:widowControl/>
        <w:spacing w:line="360" w:lineRule="auto"/>
        <w:jc w:val="left"/>
        <w:textAlignment w:val="center"/>
        <w:rPr>
          <w:rFonts w:hint="eastAsia" w:ascii="Times New Roman" w:hAnsi="Times New Roman" w:cs="Times New Roman"/>
          <w:sz w:val="24"/>
        </w:rPr>
      </w:pPr>
      <w:r>
        <w:rPr>
          <w:rFonts w:hint="eastAsia" w:ascii="Times New Roman" w:hAnsi="Times New Roman" w:cs="Times New Roman"/>
          <w:sz w:val="24"/>
        </w:rPr>
        <w:t xml:space="preserve">(B) Transwell invasion assay measuring the invasive capacity of cells with RFX1 overexpression or knockdown. </w:t>
      </w:r>
    </w:p>
    <w:p w14:paraId="3667C734">
      <w:pPr>
        <w:widowControl/>
        <w:spacing w:line="360" w:lineRule="auto"/>
        <w:jc w:val="left"/>
        <w:textAlignment w:val="center"/>
        <w:rPr>
          <w:rFonts w:hint="eastAsia" w:ascii="Times New Roman" w:hAnsi="Times New Roman" w:cs="Times New Roman"/>
          <w:sz w:val="24"/>
        </w:rPr>
      </w:pPr>
      <w:r>
        <w:rPr>
          <w:rFonts w:hint="eastAsia" w:ascii="Times New Roman" w:hAnsi="Times New Roman" w:cs="Times New Roman"/>
          <w:sz w:val="24"/>
        </w:rPr>
        <w:t>(C) Multiplex immunofluorescence staining of Ki-67, TOP2A, and RFX1 in invasive and non-invasive PitNET tissues. Scale bar, 100 µm.</w:t>
      </w:r>
      <w:bookmarkStart w:id="0" w:name="_GoBack"/>
      <w:bookmarkEnd w:id="0"/>
    </w:p>
    <w:p w14:paraId="51AE17FC">
      <w:pPr>
        <w:widowControl/>
        <w:spacing w:line="360" w:lineRule="auto"/>
        <w:jc w:val="left"/>
        <w:textAlignment w:val="center"/>
        <w:rPr>
          <w:rFonts w:hint="eastAsia" w:ascii="Times New Roman" w:hAnsi="Times New Roman" w:cs="Times New Roman"/>
          <w:sz w:val="24"/>
        </w:rPr>
      </w:pPr>
    </w:p>
    <w:p w14:paraId="22DA60DB">
      <w:pPr>
        <w:widowControl/>
        <w:spacing w:line="360" w:lineRule="auto"/>
        <w:jc w:val="center"/>
        <w:textAlignment w:val="center"/>
        <w:rPr>
          <w:rFonts w:ascii="Arial" w:hAnsi="Arial" w:eastAsia="宋体" w:cs="Arial"/>
          <w:color w:val="000000"/>
          <w:kern w:val="0"/>
          <w:sz w:val="22"/>
          <w:szCs w:val="22"/>
          <w:lang w:bidi="ar"/>
        </w:rPr>
      </w:pPr>
      <w:r>
        <w:drawing>
          <wp:inline distT="0" distB="0" distL="114300" distR="114300">
            <wp:extent cx="3468370" cy="4441190"/>
            <wp:effectExtent l="0" t="0" r="17780" b="16510"/>
            <wp:docPr id="5" name="图片 1" descr="Supplementary_figure4-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Supplementary_figure4-revised"/>
                    <pic:cNvPicPr>
                      <a:picLocks noChangeAspect="1"/>
                    </pic:cNvPicPr>
                  </pic:nvPicPr>
                  <pic:blipFill>
                    <a:blip r:embed="rId8"/>
                    <a:srcRect l="10009" r="9715" b="19051"/>
                    <a:stretch>
                      <a:fillRect/>
                    </a:stretch>
                  </pic:blipFill>
                  <pic:spPr>
                    <a:xfrm>
                      <a:off x="0" y="0"/>
                      <a:ext cx="3468370" cy="4441190"/>
                    </a:xfrm>
                    <a:prstGeom prst="rect">
                      <a:avLst/>
                    </a:prstGeom>
                  </pic:spPr>
                </pic:pic>
              </a:graphicData>
            </a:graphic>
          </wp:inline>
        </w:drawing>
      </w:r>
    </w:p>
    <w:p w14:paraId="70B875E1">
      <w:pPr>
        <w:widowControl/>
        <w:spacing w:line="360" w:lineRule="auto"/>
        <w:jc w:val="both"/>
        <w:textAlignment w:val="center"/>
        <w:rPr>
          <w:rFonts w:ascii="Arial" w:hAnsi="Arial" w:eastAsia="宋体" w:cs="Arial"/>
          <w:color w:val="000000"/>
          <w:kern w:val="0"/>
          <w:sz w:val="22"/>
          <w:szCs w:val="22"/>
          <w:lang w:bidi="ar"/>
        </w:rPr>
      </w:pPr>
    </w:p>
    <w:p w14:paraId="34C77D9A">
      <w:pPr>
        <w:widowControl/>
        <w:spacing w:line="360" w:lineRule="auto"/>
        <w:jc w:val="left"/>
        <w:textAlignment w:val="center"/>
        <w:rPr>
          <w:rFonts w:ascii="Arial" w:hAnsi="Arial" w:eastAsia="宋体" w:cs="Arial"/>
          <w:color w:val="000000"/>
          <w:kern w:val="0"/>
          <w:sz w:val="22"/>
          <w:szCs w:val="22"/>
          <w:lang w:bidi="ar"/>
        </w:rPr>
      </w:pPr>
    </w:p>
    <w:p w14:paraId="642A4D7E">
      <w:pPr>
        <w:widowControl/>
        <w:spacing w:line="360" w:lineRule="auto"/>
        <w:jc w:val="left"/>
        <w:textAlignment w:val="center"/>
        <w:rPr>
          <w:rFonts w:ascii="Arial" w:hAnsi="Arial" w:eastAsia="宋体" w:cs="Arial"/>
          <w:color w:val="000000"/>
          <w:kern w:val="0"/>
          <w:sz w:val="22"/>
          <w:szCs w:val="22"/>
          <w:lang w:bidi="ar"/>
        </w:rPr>
      </w:pPr>
    </w:p>
    <w:p w14:paraId="45EBBEBA">
      <w:pPr>
        <w:widowControl/>
        <w:spacing w:line="360" w:lineRule="auto"/>
        <w:jc w:val="left"/>
        <w:textAlignment w:val="center"/>
        <w:rPr>
          <w:rFonts w:ascii="Arial" w:hAnsi="Arial" w:eastAsia="宋体" w:cs="Arial"/>
          <w:color w:val="000000"/>
          <w:kern w:val="0"/>
          <w:sz w:val="22"/>
          <w:szCs w:val="22"/>
          <w:lang w:bidi="ar"/>
        </w:rPr>
      </w:pPr>
    </w:p>
    <w:p w14:paraId="0000CB41">
      <w:pPr>
        <w:widowControl/>
        <w:spacing w:line="360" w:lineRule="auto"/>
        <w:jc w:val="left"/>
        <w:textAlignment w:val="center"/>
        <w:rPr>
          <w:rFonts w:ascii="Arial" w:hAnsi="Arial" w:eastAsia="宋体" w:cs="Arial"/>
          <w:color w:val="000000"/>
          <w:kern w:val="0"/>
          <w:sz w:val="22"/>
          <w:szCs w:val="22"/>
          <w:lang w:bidi="ar"/>
        </w:rPr>
      </w:pPr>
    </w:p>
    <w:p w14:paraId="39821C62">
      <w:pPr>
        <w:widowControl/>
        <w:spacing w:line="360" w:lineRule="auto"/>
        <w:jc w:val="left"/>
        <w:textAlignment w:val="center"/>
        <w:rPr>
          <w:rFonts w:ascii="Arial" w:hAnsi="Arial" w:eastAsia="宋体" w:cs="Arial"/>
          <w:color w:val="000000"/>
          <w:kern w:val="0"/>
          <w:sz w:val="22"/>
          <w:szCs w:val="22"/>
          <w:lang w:bidi="ar"/>
        </w:rPr>
      </w:pPr>
    </w:p>
    <w:p w14:paraId="4F87B60A">
      <w:pPr>
        <w:widowControl/>
        <w:spacing w:line="360" w:lineRule="auto"/>
        <w:jc w:val="left"/>
        <w:textAlignment w:val="center"/>
        <w:rPr>
          <w:rFonts w:ascii="Arial" w:hAnsi="Arial" w:eastAsia="宋体" w:cs="Arial"/>
          <w:color w:val="000000"/>
          <w:kern w:val="0"/>
          <w:sz w:val="22"/>
          <w:szCs w:val="22"/>
          <w:lang w:bidi="ar"/>
        </w:rPr>
      </w:pPr>
    </w:p>
    <w:p w14:paraId="245F8E7A">
      <w:pPr>
        <w:widowControl/>
        <w:spacing w:line="360" w:lineRule="auto"/>
        <w:jc w:val="left"/>
        <w:textAlignment w:val="center"/>
        <w:rPr>
          <w:rFonts w:ascii="Arial" w:hAnsi="Arial" w:eastAsia="宋体" w:cs="Arial"/>
          <w:color w:val="000000"/>
          <w:kern w:val="0"/>
          <w:sz w:val="22"/>
          <w:szCs w:val="22"/>
          <w:lang w:bidi="ar"/>
        </w:rPr>
      </w:pPr>
    </w:p>
    <w:p w14:paraId="00E9A6EE">
      <w:pPr>
        <w:widowControl/>
        <w:spacing w:line="360" w:lineRule="auto"/>
        <w:jc w:val="left"/>
        <w:textAlignment w:val="center"/>
        <w:rPr>
          <w:rFonts w:ascii="Arial" w:hAnsi="Arial" w:eastAsia="宋体" w:cs="Arial"/>
          <w:color w:val="000000"/>
          <w:kern w:val="0"/>
          <w:sz w:val="22"/>
          <w:szCs w:val="22"/>
          <w:lang w:bidi="ar"/>
        </w:rPr>
      </w:pPr>
    </w:p>
    <w:p w14:paraId="1EB5AC50">
      <w:pPr>
        <w:widowControl/>
        <w:spacing w:line="360" w:lineRule="auto"/>
        <w:jc w:val="left"/>
        <w:textAlignment w:val="center"/>
        <w:rPr>
          <w:rFonts w:ascii="Arial" w:hAnsi="Arial" w:eastAsia="宋体" w:cs="Arial"/>
          <w:color w:val="000000"/>
          <w:kern w:val="0"/>
          <w:sz w:val="22"/>
          <w:szCs w:val="22"/>
          <w:lang w:bidi="ar"/>
        </w:rPr>
      </w:pPr>
    </w:p>
    <w:p w14:paraId="3AA04737">
      <w:pPr>
        <w:widowControl/>
        <w:spacing w:line="360" w:lineRule="auto"/>
        <w:jc w:val="left"/>
        <w:textAlignment w:val="center"/>
        <w:rPr>
          <w:rFonts w:ascii="Arial" w:hAnsi="Arial" w:eastAsia="宋体" w:cs="Arial"/>
          <w:color w:val="000000"/>
          <w:kern w:val="0"/>
          <w:sz w:val="22"/>
          <w:szCs w:val="22"/>
          <w:lang w:bidi="ar"/>
        </w:rPr>
      </w:pPr>
    </w:p>
    <w:p w14:paraId="31D8D944">
      <w:pPr>
        <w:widowControl/>
        <w:spacing w:line="360" w:lineRule="auto"/>
        <w:jc w:val="left"/>
        <w:textAlignment w:val="center"/>
        <w:rPr>
          <w:rFonts w:ascii="Arial" w:hAnsi="Arial" w:eastAsia="宋体" w:cs="Arial"/>
          <w:color w:val="000000"/>
          <w:kern w:val="0"/>
          <w:sz w:val="22"/>
          <w:szCs w:val="22"/>
          <w:lang w:bidi="ar"/>
        </w:rPr>
      </w:pPr>
    </w:p>
    <w:p w14:paraId="6713E469">
      <w:pPr>
        <w:widowControl/>
        <w:spacing w:line="360" w:lineRule="auto"/>
        <w:jc w:val="left"/>
        <w:textAlignment w:val="center"/>
        <w:rPr>
          <w:rFonts w:ascii="Arial" w:hAnsi="Arial" w:eastAsia="宋体" w:cs="Arial"/>
          <w:color w:val="000000"/>
          <w:kern w:val="0"/>
          <w:sz w:val="22"/>
          <w:szCs w:val="22"/>
          <w:lang w:bidi="ar"/>
        </w:rPr>
      </w:pPr>
    </w:p>
    <w:p w14:paraId="012E80C4">
      <w:pPr>
        <w:widowControl/>
        <w:spacing w:line="360" w:lineRule="auto"/>
        <w:jc w:val="left"/>
        <w:textAlignment w:val="center"/>
      </w:pPr>
      <w:r>
        <w:rPr>
          <w:rFonts w:ascii="Arial" w:hAnsi="Arial" w:eastAsia="宋体" w:cs="Arial"/>
          <w:color w:val="000000"/>
          <w:kern w:val="0"/>
          <w:sz w:val="22"/>
          <w:szCs w:val="22"/>
          <w:lang w:bidi="ar"/>
        </w:rPr>
        <w:t xml:space="preserve">Supplementary Table </w:t>
      </w:r>
      <w:r>
        <w:rPr>
          <w:rFonts w:hint="eastAsia" w:ascii="Arial" w:hAnsi="Arial" w:eastAsia="宋体" w:cs="Arial"/>
          <w:color w:val="000000"/>
          <w:kern w:val="0"/>
          <w:sz w:val="22"/>
          <w:szCs w:val="22"/>
          <w:lang w:bidi="ar"/>
        </w:rPr>
        <w:t>1</w:t>
      </w:r>
      <w:r>
        <w:rPr>
          <w:rFonts w:ascii="Arial" w:hAnsi="Arial" w:eastAsia="宋体" w:cs="Arial"/>
          <w:color w:val="000000"/>
          <w:kern w:val="0"/>
          <w:sz w:val="22"/>
          <w:szCs w:val="22"/>
          <w:lang w:bidi="ar"/>
        </w:rPr>
        <w:t xml:space="preserve">. </w:t>
      </w:r>
      <w:r>
        <w:rPr>
          <w:rFonts w:hint="eastAsia" w:ascii="Arial" w:hAnsi="Arial" w:eastAsia="宋体" w:cs="Arial"/>
          <w:color w:val="000000"/>
          <w:kern w:val="0"/>
          <w:sz w:val="22"/>
          <w:szCs w:val="22"/>
          <w:lang w:bidi="ar"/>
        </w:rPr>
        <w:t>Sequences of oligos.</w:t>
      </w:r>
    </w:p>
    <w:tbl>
      <w:tblPr>
        <w:tblStyle w:val="6"/>
        <w:tblW w:w="9093" w:type="dxa"/>
        <w:tblInd w:w="96" w:type="dxa"/>
        <w:tblLayout w:type="fixed"/>
        <w:tblCellMar>
          <w:top w:w="0" w:type="dxa"/>
          <w:left w:w="108" w:type="dxa"/>
          <w:bottom w:w="0" w:type="dxa"/>
          <w:right w:w="108" w:type="dxa"/>
        </w:tblCellMar>
      </w:tblPr>
      <w:tblGrid>
        <w:gridCol w:w="1596"/>
        <w:gridCol w:w="4028"/>
        <w:gridCol w:w="3469"/>
      </w:tblGrid>
      <w:tr w14:paraId="021A85A4">
        <w:tblPrEx>
          <w:tblCellMar>
            <w:top w:w="0" w:type="dxa"/>
            <w:left w:w="108" w:type="dxa"/>
            <w:bottom w:w="0" w:type="dxa"/>
            <w:right w:w="108" w:type="dxa"/>
          </w:tblCellMar>
        </w:tblPrEx>
        <w:trPr>
          <w:trHeight w:val="312"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E92E7">
            <w:pPr>
              <w:spacing w:line="360" w:lineRule="auto"/>
              <w:rPr>
                <w:rFonts w:ascii="Times New Roman" w:hAnsi="Times New Roman" w:eastAsia="宋体" w:cs="Times New Roman"/>
                <w:color w:val="000000"/>
                <w:sz w:val="24"/>
              </w:rPr>
            </w:pPr>
          </w:p>
        </w:tc>
        <w:tc>
          <w:tcPr>
            <w:tcW w:w="40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68E7E">
            <w:pPr>
              <w:widowControl/>
              <w:spacing w:line="360" w:lineRule="auto"/>
              <w:jc w:val="center"/>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Forward sequence</w:t>
            </w:r>
          </w:p>
        </w:tc>
        <w:tc>
          <w:tcPr>
            <w:tcW w:w="34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576C7">
            <w:pPr>
              <w:widowControl/>
              <w:spacing w:line="360" w:lineRule="auto"/>
              <w:jc w:val="center"/>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Reverse sequence</w:t>
            </w:r>
          </w:p>
        </w:tc>
      </w:tr>
      <w:tr w14:paraId="0092C0B1">
        <w:tblPrEx>
          <w:tblCellMar>
            <w:top w:w="0" w:type="dxa"/>
            <w:left w:w="108" w:type="dxa"/>
            <w:bottom w:w="0" w:type="dxa"/>
            <w:right w:w="108" w:type="dxa"/>
          </w:tblCellMar>
        </w:tblPrEx>
        <w:trPr>
          <w:trHeight w:val="312"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593C8">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RFX1-OE</w:t>
            </w:r>
          </w:p>
        </w:tc>
        <w:tc>
          <w:tcPr>
            <w:tcW w:w="40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34A21">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AGAAGATTCTAGAGCTAGCGAATTC</w:t>
            </w:r>
            <w:r>
              <w:rPr>
                <w:rFonts w:hint="eastAsia" w:ascii="Times New Roman" w:hAnsi="Times New Roman" w:eastAsia="宋体" w:cs="Times New Roman"/>
                <w:color w:val="000000"/>
                <w:kern w:val="0"/>
                <w:sz w:val="24"/>
                <w:lang w:bidi="ar"/>
              </w:rPr>
              <w:t>GCCACC</w:t>
            </w:r>
            <w:r>
              <w:rPr>
                <w:rFonts w:ascii="Times New Roman" w:hAnsi="Times New Roman" w:eastAsia="宋体" w:cs="Times New Roman"/>
                <w:color w:val="000000"/>
                <w:kern w:val="0"/>
                <w:sz w:val="24"/>
                <w:lang w:bidi="ar"/>
              </w:rPr>
              <w:t>ATGGCAACACAGTCCTATGTTACTGAG</w:t>
            </w:r>
          </w:p>
        </w:tc>
        <w:tc>
          <w:tcPr>
            <w:tcW w:w="34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FC91A">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GATCCTTCGCGGCCGCGGATCCTTAGCTGGAGGGCAGGGCC</w:t>
            </w:r>
          </w:p>
        </w:tc>
      </w:tr>
      <w:tr w14:paraId="18401ACC">
        <w:tblPrEx>
          <w:tblCellMar>
            <w:top w:w="0" w:type="dxa"/>
            <w:left w:w="108" w:type="dxa"/>
            <w:bottom w:w="0" w:type="dxa"/>
            <w:right w:w="108" w:type="dxa"/>
          </w:tblCellMar>
        </w:tblPrEx>
        <w:trPr>
          <w:trHeight w:val="312"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6FC67">
            <w:pPr>
              <w:spacing w:line="360" w:lineRule="auto"/>
              <w:rPr>
                <w:rFonts w:ascii="Times New Roman" w:hAnsi="Times New Roman" w:eastAsia="宋体" w:cs="Times New Roman"/>
                <w:color w:val="000000"/>
                <w:sz w:val="24"/>
              </w:rPr>
            </w:pPr>
          </w:p>
        </w:tc>
        <w:tc>
          <w:tcPr>
            <w:tcW w:w="749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DB470">
            <w:pPr>
              <w:widowControl/>
              <w:spacing w:line="360" w:lineRule="auto"/>
              <w:jc w:val="center"/>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Target sequence</w:t>
            </w:r>
          </w:p>
        </w:tc>
      </w:tr>
      <w:tr w14:paraId="0ECB5E38">
        <w:tblPrEx>
          <w:tblCellMar>
            <w:top w:w="0" w:type="dxa"/>
            <w:left w:w="108" w:type="dxa"/>
            <w:bottom w:w="0" w:type="dxa"/>
            <w:right w:w="108" w:type="dxa"/>
          </w:tblCellMar>
        </w:tblPrEx>
        <w:trPr>
          <w:trHeight w:val="312"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0C7B1">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siRFX1-1</w:t>
            </w:r>
          </w:p>
        </w:tc>
        <w:tc>
          <w:tcPr>
            <w:tcW w:w="749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9CB5C">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GCACUGUGACAAUGUGCUGUATT</w:t>
            </w:r>
          </w:p>
        </w:tc>
      </w:tr>
      <w:tr w14:paraId="740A93F5">
        <w:tblPrEx>
          <w:tblCellMar>
            <w:top w:w="0" w:type="dxa"/>
            <w:left w:w="108" w:type="dxa"/>
            <w:bottom w:w="0" w:type="dxa"/>
            <w:right w:w="108" w:type="dxa"/>
          </w:tblCellMar>
        </w:tblPrEx>
        <w:trPr>
          <w:trHeight w:val="312"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A3CFF">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siRFX1-2</w:t>
            </w:r>
          </w:p>
        </w:tc>
        <w:tc>
          <w:tcPr>
            <w:tcW w:w="749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2D461">
            <w:pPr>
              <w:widowControl/>
              <w:spacing w:line="360" w:lineRule="auto"/>
              <w:jc w:val="left"/>
              <w:textAlignment w:val="center"/>
              <w:rPr>
                <w:rFonts w:ascii="Times New Roman" w:hAnsi="Times New Roman" w:eastAsia="宋体" w:cs="Times New Roman"/>
                <w:color w:val="000000"/>
                <w:sz w:val="24"/>
              </w:rPr>
            </w:pPr>
            <w:r>
              <w:rPr>
                <w:rFonts w:ascii="Times New Roman" w:hAnsi="Times New Roman" w:eastAsia="宋体" w:cs="Times New Roman"/>
                <w:color w:val="000000"/>
                <w:kern w:val="0"/>
                <w:sz w:val="24"/>
                <w:lang w:bidi="ar"/>
              </w:rPr>
              <w:t>GCAACUCUAAGUACCACUAUUTT</w:t>
            </w:r>
          </w:p>
        </w:tc>
      </w:tr>
    </w:tbl>
    <w:p w14:paraId="54DB0E9F">
      <w:pPr>
        <w:spacing w:line="360" w:lineRule="auto"/>
      </w:pPr>
    </w:p>
    <w:p w14:paraId="72CCC3E6">
      <w:pPr>
        <w:widowControl/>
        <w:spacing w:line="360" w:lineRule="auto"/>
        <w:jc w:val="left"/>
        <w:textAlignment w:val="center"/>
        <w:rPr>
          <w:rFonts w:ascii="Arial" w:hAnsi="Arial" w:eastAsia="宋体" w:cs="Arial"/>
          <w:color w:val="000000"/>
          <w:kern w:val="0"/>
          <w:sz w:val="22"/>
          <w:szCs w:val="22"/>
          <w:lang w:bidi="ar"/>
        </w:rPr>
      </w:pPr>
      <w:r>
        <w:rPr>
          <w:rFonts w:ascii="Arial" w:hAnsi="Arial" w:eastAsia="宋体" w:cs="Arial"/>
          <w:color w:val="000000"/>
          <w:kern w:val="0"/>
          <w:sz w:val="22"/>
          <w:szCs w:val="22"/>
          <w:lang w:bidi="ar"/>
        </w:rPr>
        <w:t xml:space="preserve">Supplementary Table </w:t>
      </w:r>
      <w:r>
        <w:rPr>
          <w:rFonts w:hint="eastAsia" w:ascii="Arial" w:hAnsi="Arial" w:eastAsia="宋体" w:cs="Arial"/>
          <w:color w:val="000000"/>
          <w:kern w:val="0"/>
          <w:sz w:val="22"/>
          <w:szCs w:val="22"/>
          <w:lang w:bidi="ar"/>
        </w:rPr>
        <w:t>2</w:t>
      </w:r>
      <w:r>
        <w:rPr>
          <w:rFonts w:ascii="Arial" w:hAnsi="Arial" w:eastAsia="宋体" w:cs="Arial"/>
          <w:color w:val="000000"/>
          <w:kern w:val="0"/>
          <w:sz w:val="22"/>
          <w:szCs w:val="22"/>
          <w:lang w:bidi="ar"/>
        </w:rPr>
        <w:t>. Primer sets for qPCR</w:t>
      </w:r>
      <w:r>
        <w:rPr>
          <w:rFonts w:hint="eastAsia" w:ascii="Arial" w:hAnsi="Arial" w:eastAsia="宋体" w:cs="Arial"/>
          <w:color w:val="000000"/>
          <w:kern w:val="0"/>
          <w:sz w:val="22"/>
          <w:szCs w:val="22"/>
          <w:lang w:bidi="ar"/>
        </w:rPr>
        <w:t>.</w:t>
      </w:r>
    </w:p>
    <w:tbl>
      <w:tblPr>
        <w:tblStyle w:val="6"/>
        <w:tblW w:w="6229" w:type="dxa"/>
        <w:tblInd w:w="96" w:type="dxa"/>
        <w:tblLayout w:type="autofit"/>
        <w:tblCellMar>
          <w:top w:w="0" w:type="dxa"/>
          <w:left w:w="108" w:type="dxa"/>
          <w:bottom w:w="0" w:type="dxa"/>
          <w:right w:w="108" w:type="dxa"/>
        </w:tblCellMar>
      </w:tblPr>
      <w:tblGrid>
        <w:gridCol w:w="2508"/>
        <w:gridCol w:w="3721"/>
      </w:tblGrid>
      <w:tr w14:paraId="0A225E2A">
        <w:tblPrEx>
          <w:tblCellMar>
            <w:top w:w="0" w:type="dxa"/>
            <w:left w:w="108" w:type="dxa"/>
            <w:bottom w:w="0" w:type="dxa"/>
            <w:right w:w="108" w:type="dxa"/>
          </w:tblCellMar>
        </w:tblPrEx>
        <w:trPr>
          <w:trHeight w:val="276" w:hRule="atLeast"/>
        </w:trPr>
        <w:tc>
          <w:tcPr>
            <w:tcW w:w="25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43C1A">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RFX1_MUS_FOR</w:t>
            </w:r>
          </w:p>
        </w:tc>
        <w:tc>
          <w:tcPr>
            <w:tcW w:w="3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27A80">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GGCAGCCAGAAGCAGTATGT</w:t>
            </w:r>
          </w:p>
        </w:tc>
      </w:tr>
      <w:tr w14:paraId="1155F1A5">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326AE">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RFX1_MUS_REV</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FCE9B">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GCACCTTCCGATACGGTGA</w:t>
            </w:r>
          </w:p>
        </w:tc>
      </w:tr>
      <w:tr w14:paraId="5AE9D29E">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3F88C">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WLS_HOM_FOR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2CFC6">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 xml:space="preserve">ATGAGGGCCGTTACTATGAATGT </w:t>
            </w:r>
          </w:p>
        </w:tc>
      </w:tr>
      <w:tr w14:paraId="2D4ED567">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1E29F">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WLS_HOM_REV</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FC4D5">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CCTTGGTGAAGCCTCCATTTTG</w:t>
            </w:r>
          </w:p>
        </w:tc>
      </w:tr>
      <w:tr w14:paraId="4C1618C5">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DA8D5">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WFDC2_HOM_FOR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2DA1B">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AGAACTGCACGCAAGAGTG</w:t>
            </w:r>
          </w:p>
        </w:tc>
      </w:tr>
      <w:tr w14:paraId="0C6014E3">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12B0A">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WFDC2_HOM_REV</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CE092">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TTGAGGTTGTCGGCGCATT</w:t>
            </w:r>
          </w:p>
        </w:tc>
      </w:tr>
      <w:tr w14:paraId="54A779C6">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E05C1">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RFX1_HOM_FOR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FAD47">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CGGCAAGCACCAGCTACTAC</w:t>
            </w:r>
          </w:p>
        </w:tc>
      </w:tr>
      <w:tr w14:paraId="43756BDD">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779DF">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RFX1_HOM_REV</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B2ACB">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GGACACGTACATGGGCATGG</w:t>
            </w:r>
          </w:p>
        </w:tc>
      </w:tr>
      <w:tr w14:paraId="7DBC2681">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7C705">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TAGLN3_HOM_FOR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AB41A">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 xml:space="preserve">AAGCTGCGGAGACCTATGGT </w:t>
            </w:r>
          </w:p>
        </w:tc>
      </w:tr>
      <w:tr w14:paraId="556A4C9D">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E13A2">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TAGLN3_HOM_REV</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3EF90">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 xml:space="preserve">AACGCTGCCTAAAGCCATCA </w:t>
            </w:r>
          </w:p>
        </w:tc>
      </w:tr>
      <w:tr w14:paraId="03E7E864">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A130D">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TGFBR3L_HOM_FOR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9C8C5">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CCTTCCGTTTCCTTTCCCAGA</w:t>
            </w:r>
          </w:p>
        </w:tc>
      </w:tr>
      <w:tr w14:paraId="54CCECC3">
        <w:tblPrEx>
          <w:tblCellMar>
            <w:top w:w="0" w:type="dxa"/>
            <w:left w:w="108" w:type="dxa"/>
            <w:bottom w:w="0" w:type="dxa"/>
            <w:right w:w="108" w:type="dxa"/>
          </w:tblCellMar>
        </w:tblPrEx>
        <w:trPr>
          <w:trHeight w:val="27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AE7FE">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TGFBR3L_HOM_REV</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2E6CB">
            <w:pPr>
              <w:widowControl/>
              <w:spacing w:line="360" w:lineRule="auto"/>
              <w:jc w:val="left"/>
              <w:textAlignment w:val="center"/>
              <w:rPr>
                <w:rFonts w:ascii="Arial" w:hAnsi="Arial" w:eastAsia="宋体" w:cs="Arial"/>
                <w:color w:val="000000"/>
                <w:sz w:val="22"/>
                <w:szCs w:val="22"/>
              </w:rPr>
            </w:pPr>
            <w:r>
              <w:rPr>
                <w:rFonts w:ascii="Arial" w:hAnsi="Arial" w:eastAsia="宋体" w:cs="Arial"/>
                <w:color w:val="000000"/>
                <w:kern w:val="0"/>
                <w:sz w:val="22"/>
                <w:szCs w:val="22"/>
                <w:lang w:bidi="ar"/>
              </w:rPr>
              <w:t>CACATTTGACAGACAGGGCAAT</w:t>
            </w:r>
          </w:p>
        </w:tc>
      </w:tr>
    </w:tbl>
    <w:p w14:paraId="54A3C7C9">
      <w:pPr>
        <w:spacing w:line="360" w:lineRule="auto"/>
      </w:pPr>
    </w:p>
    <w:p w14:paraId="2A3446C8">
      <w:pPr>
        <w:spacing w:line="360" w:lineRule="auto"/>
        <w:rPr>
          <w:rFonts w:ascii="Times New Roman Regular" w:hAnsi="Times New Roman Regular" w:cs="Times New Roman Regular"/>
          <w:sz w:val="24"/>
          <w:szCs w:val="32"/>
        </w:rPr>
      </w:pPr>
    </w:p>
    <w:p w14:paraId="328C3B8D">
      <w:pPr>
        <w:spacing w:line="360" w:lineRule="auto"/>
        <w:rPr>
          <w:rFonts w:ascii="Times New Roman Regular" w:hAnsi="Times New Roman Regular" w:cs="Times New Roman Regular"/>
          <w:sz w:val="24"/>
          <w:szCs w:val="32"/>
        </w:rPr>
      </w:pPr>
    </w:p>
    <w:p w14:paraId="48D56258">
      <w:pPr>
        <w:spacing w:line="360" w:lineRule="auto"/>
        <w:rPr>
          <w:rFonts w:ascii="Times New Roman Regular" w:hAnsi="Times New Roman Regular" w:cs="Times New Roman Regular"/>
          <w:sz w:val="24"/>
          <w:szCs w:val="32"/>
        </w:rPr>
      </w:pPr>
    </w:p>
    <w:p w14:paraId="3D2AA6CE">
      <w:pPr>
        <w:spacing w:line="360" w:lineRule="auto"/>
        <w:rPr>
          <w:rFonts w:ascii="Times New Roman Regular" w:hAnsi="Times New Roman Regular" w:cs="Times New Roman Regular"/>
          <w:sz w:val="24"/>
          <w:szCs w:val="32"/>
        </w:rPr>
      </w:pPr>
    </w:p>
    <w:p w14:paraId="284E08B3">
      <w:pPr>
        <w:spacing w:line="360" w:lineRule="auto"/>
        <w:rPr>
          <w:rFonts w:ascii="Times New Roman Regular" w:hAnsi="Times New Roman Regular" w:cs="Times New Roman Regular"/>
          <w:sz w:val="24"/>
          <w:szCs w:val="32"/>
        </w:rPr>
      </w:pPr>
    </w:p>
    <w:p w14:paraId="54B08907">
      <w:pPr>
        <w:spacing w:line="360" w:lineRule="auto"/>
        <w:rPr>
          <w:rFonts w:ascii="Times New Roman Regular" w:hAnsi="Times New Roman Regular" w:cs="Times New Roman Regular"/>
          <w:sz w:val="24"/>
          <w:szCs w:val="32"/>
        </w:rPr>
      </w:pPr>
    </w:p>
    <w:p w14:paraId="1385AEC2">
      <w:pPr>
        <w:spacing w:line="360" w:lineRule="auto"/>
        <w:rPr>
          <w:rFonts w:ascii="Times New Roman Regular" w:hAnsi="Times New Roman Regular" w:cs="Times New Roman Regular"/>
          <w:sz w:val="24"/>
          <w:szCs w:val="32"/>
        </w:rPr>
      </w:pPr>
      <w:r>
        <w:rPr>
          <w:rFonts w:ascii="Times New Roman Regular" w:hAnsi="Times New Roman Regular" w:cs="Times New Roman Regular"/>
          <w:sz w:val="24"/>
          <w:szCs w:val="32"/>
        </w:rPr>
        <w:t>Supplementary Materials and Methods</w:t>
      </w:r>
    </w:p>
    <w:p w14:paraId="0A8DFA75">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1</w:t>
      </w:r>
      <w:r>
        <w:rPr>
          <w:rFonts w:hint="eastAsia" w:ascii="Times New Roman" w:hAnsi="Times New Roman" w:cs="Times New Roman"/>
          <w:sz w:val="24"/>
        </w:rPr>
        <w:t>.</w:t>
      </w:r>
      <w:r>
        <w:rPr>
          <w:rFonts w:ascii="Times New Roman" w:hAnsi="Times New Roman" w:cs="Times New Roman"/>
          <w:sz w:val="24"/>
        </w:rPr>
        <w:t xml:space="preserve"> Sample Retrieval</w:t>
      </w:r>
    </w:p>
    <w:p w14:paraId="03CE13E7">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got expression data for invasive PitNETs from the Gene Expression Omnibus (GEO). We used filters like "Homo sapiens" and "Series" to find the right data. We also picked studies that used "Expression profiling by array" or "high-throughput sequencing." For our study, each dataset had to have at least 30 samples, with at least 15 invasive and 15 non-invasive cases.</w:t>
      </w:r>
    </w:p>
    <w:p w14:paraId="13DE3DA4">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2</w:t>
      </w:r>
      <w:r>
        <w:rPr>
          <w:rFonts w:hint="eastAsia" w:ascii="Times New Roman" w:hAnsi="Times New Roman" w:cs="Times New Roman"/>
          <w:sz w:val="24"/>
        </w:rPr>
        <w:t>.</w:t>
      </w:r>
      <w:r>
        <w:rPr>
          <w:rFonts w:ascii="Times New Roman" w:hAnsi="Times New Roman" w:cs="Times New Roman"/>
          <w:sz w:val="24"/>
        </w:rPr>
        <w:t xml:space="preserve"> Data Acquisition</w:t>
      </w:r>
    </w:p>
    <w:p w14:paraId="4FEF834F">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used Bioconductor R packages (v4.</w:t>
      </w:r>
      <w:r>
        <w:rPr>
          <w:rFonts w:hint="eastAsia" w:ascii="Times New Roman" w:hAnsi="Times New Roman" w:cs="Times New Roman"/>
          <w:sz w:val="24"/>
        </w:rPr>
        <w:t>3.1</w:t>
      </w:r>
      <w:r>
        <w:rPr>
          <w:rFonts w:ascii="Times New Roman" w:hAnsi="Times New Roman" w:cs="Times New Roman"/>
          <w:sz w:val="24"/>
        </w:rPr>
        <w:t>) to change microarray probes into gene symbols. After cleaning the data, we joined three datasets using the Rank-in method. To find cuproptosis-related genes that were different between invasive and non-invasive tumors, we used the Limma package. We set the significance at P &lt; 0.05. We made a heatmap with the "heatmap" package to show these results. Also, we used the Metascape platform to do GO and KEGG enrichment to see the biological pathways</w:t>
      </w:r>
      <w:r>
        <w:rPr>
          <w:rFonts w:hint="eastAsia" w:ascii="Times New Roman" w:hAnsi="Times New Roman" w:cs="Times New Roman"/>
          <w:sz w:val="24"/>
        </w:rPr>
        <w:t>.</w:t>
      </w:r>
    </w:p>
    <w:p w14:paraId="328D5986">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3</w:t>
      </w:r>
      <w:r>
        <w:rPr>
          <w:rFonts w:hint="eastAsia" w:ascii="Times New Roman" w:hAnsi="Times New Roman" w:cs="Times New Roman"/>
          <w:sz w:val="24"/>
        </w:rPr>
        <w:t>.</w:t>
      </w:r>
      <w:r>
        <w:rPr>
          <w:rFonts w:ascii="Times New Roman" w:hAnsi="Times New Roman" w:cs="Times New Roman"/>
          <w:sz w:val="24"/>
        </w:rPr>
        <w:t xml:space="preserve"> Evaluating the Immune Characteristics</w:t>
      </w:r>
    </w:p>
    <w:p w14:paraId="73B02BC3">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used the CIBERSORT algorithm to see the levels of 22 types of immune cells in the samples. We used the Monte Carlo method to get P-values. We considered a $P &lt; 0.05$ as statistically significant for these immune cell differences.</w:t>
      </w:r>
    </w:p>
    <w:p w14:paraId="488BDFFC">
      <w:pPr>
        <w:widowControl/>
        <w:numPr>
          <w:ilvl w:val="0"/>
          <w:numId w:val="1"/>
        </w:numPr>
        <w:tabs>
          <w:tab w:val="left" w:pos="1005"/>
        </w:tabs>
        <w:spacing w:line="360" w:lineRule="auto"/>
        <w:rPr>
          <w:rFonts w:ascii="Times New Roman" w:hAnsi="Times New Roman" w:cs="Times New Roman"/>
          <w:sz w:val="24"/>
        </w:rPr>
      </w:pPr>
      <w:r>
        <w:rPr>
          <w:rFonts w:ascii="Times New Roman" w:hAnsi="Times New Roman" w:cs="Times New Roman"/>
          <w:sz w:val="24"/>
        </w:rPr>
        <w:t>Correlation Analysis Between Immune Infiltrating Cells and Differentially Expressed Cuproptosis-Related Genes</w:t>
      </w:r>
    </w:p>
    <w:p w14:paraId="391CA209">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used the "circlize" and "corrplot" R packages to see how the cuproptosis genes related to each other. Also, we used Spearman correlation to find links between these genes and the immune cells. A P &lt; 0.05 showed a significant link.</w:t>
      </w:r>
    </w:p>
    <w:p w14:paraId="1A8104CB">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5</w:t>
      </w:r>
      <w:r>
        <w:rPr>
          <w:rFonts w:hint="eastAsia" w:ascii="Times New Roman" w:hAnsi="Times New Roman" w:cs="Times New Roman"/>
          <w:sz w:val="24"/>
        </w:rPr>
        <w:t>.</w:t>
      </w:r>
      <w:r>
        <w:rPr>
          <w:rFonts w:ascii="Times New Roman" w:hAnsi="Times New Roman" w:cs="Times New Roman"/>
          <w:sz w:val="24"/>
        </w:rPr>
        <w:t xml:space="preserve"> Unsupervised Clustering of Invasive Pituitary Neuroendocrine Tumor Patients</w:t>
      </w:r>
    </w:p>
    <w:p w14:paraId="62A1AB32">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grouped invasive PitNET patients using the ConsensusClusterPlus package (v1.64.0). We looked at the consensus score (&gt;0.9), CDF curves, and matrices to find the best number of groups. We tested up to six clusters.</w:t>
      </w:r>
    </w:p>
    <w:p w14:paraId="6F3199FE">
      <w:pPr>
        <w:widowControl/>
        <w:numPr>
          <w:ilvl w:val="0"/>
          <w:numId w:val="2"/>
        </w:numPr>
        <w:tabs>
          <w:tab w:val="left" w:pos="1005"/>
        </w:tabs>
        <w:spacing w:line="360" w:lineRule="auto"/>
        <w:rPr>
          <w:rFonts w:ascii="Times New Roman" w:hAnsi="Times New Roman" w:cs="Times New Roman"/>
          <w:sz w:val="24"/>
        </w:rPr>
      </w:pPr>
      <w:r>
        <w:rPr>
          <w:rFonts w:ascii="Times New Roman" w:hAnsi="Times New Roman" w:cs="Times New Roman"/>
          <w:sz w:val="24"/>
        </w:rPr>
        <w:t>Principal Component Analysis (PCA)</w:t>
      </w:r>
    </w:p>
    <w:p w14:paraId="5CED96A3">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used PCA to reduce the data dimensions. This method helped us see the main differences between Cluster 1 and Cluster 2 by changing the variables.</w:t>
      </w:r>
    </w:p>
    <w:p w14:paraId="21B8E4AD">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7</w:t>
      </w:r>
      <w:r>
        <w:rPr>
          <w:rFonts w:hint="eastAsia" w:ascii="Times New Roman" w:hAnsi="Times New Roman" w:cs="Times New Roman"/>
          <w:sz w:val="24"/>
        </w:rPr>
        <w:t>.</w:t>
      </w:r>
      <w:r>
        <w:rPr>
          <w:rFonts w:ascii="Times New Roman" w:hAnsi="Times New Roman" w:cs="Times New Roman"/>
          <w:sz w:val="24"/>
        </w:rPr>
        <w:t xml:space="preserve"> Gene Set Variation Analysis (GSVA)</w:t>
      </w:r>
    </w:p>
    <w:p w14:paraId="4D29852F">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looked at pathway activity using the “GSVA” and “GSEABase” packages. We used the “c2.cp.kegg” and “c5.go” gene sets for this. A GSVA score with a t-value &gt; 2 was considered significant.</w:t>
      </w:r>
    </w:p>
    <w:p w14:paraId="4CE728BA">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8.</w:t>
      </w:r>
      <w:r>
        <w:rPr>
          <w:rFonts w:ascii="Times New Roman" w:hAnsi="Times New Roman" w:cs="Times New Roman"/>
          <w:sz w:val="24"/>
        </w:rPr>
        <w:t xml:space="preserve"> Weighted Gene Co-expression Network Analysis (WGCNA)</w:t>
      </w:r>
    </w:p>
    <w:p w14:paraId="5B123A71">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did WGCNA to find groups of genes that work together. We picked the genes with the most variance (top 25%). Then, we looked at how these gene modules related to clinical traits to find important gene sets.</w:t>
      </w:r>
    </w:p>
    <w:p w14:paraId="6558D6D7">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9.</w:t>
      </w:r>
      <w:r>
        <w:rPr>
          <w:rFonts w:ascii="Times New Roman" w:hAnsi="Times New Roman" w:cs="Times New Roman"/>
          <w:sz w:val="24"/>
        </w:rPr>
        <w:t xml:space="preserve"> Machine Learning Models</w:t>
      </w:r>
    </w:p>
    <w:p w14:paraId="1C36F57C">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built four machine learning models using the “caret” R package: XGB, GLM, RF, and SVM. To check how well they worked, we used 5-fold cross-validation. We also made ROC curves with the “pROC” package to measure their predictive accuracy.</w:t>
      </w:r>
    </w:p>
    <w:p w14:paraId="037467CC">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10</w:t>
      </w:r>
      <w:r>
        <w:rPr>
          <w:rFonts w:hint="eastAsia" w:ascii="Times New Roman" w:hAnsi="Times New Roman" w:cs="Times New Roman"/>
          <w:sz w:val="24"/>
        </w:rPr>
        <w:t>.</w:t>
      </w:r>
      <w:r>
        <w:rPr>
          <w:rFonts w:ascii="Times New Roman" w:hAnsi="Times New Roman" w:cs="Times New Roman"/>
          <w:sz w:val="24"/>
        </w:rPr>
        <w:t xml:space="preserve"> Construction of a Predictive Model</w:t>
      </w:r>
    </w:p>
    <w:p w14:paraId="23BEB71B">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made a nomogram model with the “rms” R package using five hub genes. Then, we used DCA and calibration curves to see how accurate the model was.</w:t>
      </w:r>
    </w:p>
    <w:p w14:paraId="668350E9">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1</w:t>
      </w:r>
      <w:r>
        <w:rPr>
          <w:rFonts w:hint="eastAsia" w:ascii="Times New Roman" w:hAnsi="Times New Roman" w:cs="Times New Roman"/>
          <w:sz w:val="24"/>
        </w:rPr>
        <w:t>1.</w:t>
      </w:r>
      <w:r>
        <w:rPr>
          <w:rFonts w:ascii="Times New Roman" w:hAnsi="Times New Roman" w:cs="Times New Roman"/>
          <w:sz w:val="24"/>
        </w:rPr>
        <w:t xml:space="preserve"> Cell Lines and Primary Cell Culture</w:t>
      </w:r>
    </w:p>
    <w:p w14:paraId="56C3ED22">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checked all cell lines for mycoplasma with a stain kit (Cat. No. C0296, Beyotime) before starting. The HP75 and AtT20 lines came from the Cell Bank of the Chinese Academy of Sciences. These cells were authenticated by STR profiling to make sure they were correct and not contaminated. We grew the cells in DMEM with 10% FBS and 1% penicillin-streptomycin. The incubator was set at 37°C with 5% CO</w:t>
      </w:r>
      <w:r>
        <w:rPr>
          <w:rFonts w:hint="eastAsia" w:ascii="Times New Roman" w:hAnsi="Times New Roman" w:cs="Times New Roman"/>
          <w:sz w:val="24"/>
        </w:rPr>
        <w:t>2</w:t>
      </w:r>
      <w:r>
        <w:rPr>
          <w:rFonts w:ascii="Times New Roman" w:hAnsi="Times New Roman" w:cs="Times New Roman"/>
          <w:sz w:val="24"/>
        </w:rPr>
        <w:t>. We also screened for mycoplasma every month.</w:t>
      </w:r>
    </w:p>
    <w:p w14:paraId="356D202C">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 xml:space="preserve">12. </w:t>
      </w:r>
      <w:r>
        <w:rPr>
          <w:rFonts w:ascii="Times New Roman" w:hAnsi="Times New Roman" w:cs="Times New Roman"/>
          <w:sz w:val="24"/>
        </w:rPr>
        <w:t>Single-cell RNA sequencing Data Acquisition and Integration</w:t>
      </w:r>
    </w:p>
    <w:p w14:paraId="36780443">
      <w:pPr>
        <w:widowControl/>
        <w:tabs>
          <w:tab w:val="left" w:pos="1005"/>
        </w:tabs>
        <w:spacing w:line="360" w:lineRule="auto"/>
        <w:rPr>
          <w:rFonts w:ascii="Times New Roman" w:hAnsi="Times New Roman" w:cs="Times New Roman"/>
          <w:sz w:val="24"/>
        </w:rPr>
      </w:pPr>
      <w:r>
        <w:rPr>
          <w:rFonts w:ascii="Times New Roman" w:hAnsi="Times New Roman" w:cs="Times New Roman"/>
          <w:sz w:val="24"/>
        </w:rPr>
        <w:t>We got scRNA-seq data for 47 PitNET patients from Lin et al. (2024) and Cui et al. (2021). We also added 7 normal pituitary samples from the GSE178452 dataset. We only kept samples with more than 500 cells. We picked out normal cell types (like Lacto, Somato, and Cortico) and tumor groups (PIT1_T, TPIT_T, SF1_T, TPC_T). For quality control, we removed cells if they had over 18% mitochondrial genes or fewer than 200 genes. This left us with 20,591 good cells. We used RPCA in Seurat (v5.0.1) to fix batch effects.</w:t>
      </w:r>
    </w:p>
    <w:p w14:paraId="354854BC">
      <w:pPr>
        <w:widowControl/>
        <w:tabs>
          <w:tab w:val="left" w:pos="1005"/>
        </w:tabs>
        <w:spacing w:line="360" w:lineRule="auto"/>
        <w:rPr>
          <w:rFonts w:ascii="Times New Roman" w:hAnsi="Times New Roman" w:cs="Times New Roman"/>
          <w:sz w:val="24"/>
        </w:rPr>
      </w:pPr>
      <w:r>
        <w:rPr>
          <w:rFonts w:hint="eastAsia" w:ascii="Times New Roman" w:hAnsi="Times New Roman" w:cs="Times New Roman"/>
          <w:sz w:val="24"/>
        </w:rPr>
        <w:t xml:space="preserve">13. </w:t>
      </w:r>
      <w:r>
        <w:rPr>
          <w:rFonts w:ascii="Times New Roman" w:hAnsi="Times New Roman" w:cs="Times New Roman"/>
          <w:sz w:val="24"/>
        </w:rPr>
        <w:t>Clustering and Annotation</w:t>
      </w:r>
    </w:p>
    <w:p w14:paraId="32E77455">
      <w:pPr>
        <w:widowControl/>
        <w:tabs>
          <w:tab w:val="left" w:pos="1005"/>
        </w:tabs>
        <w:spacing w:line="360" w:lineRule="auto"/>
        <w:rPr>
          <w:rFonts w:ascii="Times New Roman Regular" w:hAnsi="Times New Roman Regular" w:cs="Times New Roman Regular"/>
          <w:sz w:val="24"/>
          <w:szCs w:val="32"/>
        </w:rPr>
      </w:pPr>
      <w:r>
        <w:rPr>
          <w:rFonts w:ascii="Times New Roman" w:hAnsi="Times New Roman" w:cs="Times New Roman"/>
          <w:sz w:val="24"/>
        </w:rPr>
        <w:t>We normalized the data and used PCA (15 components) and UMAP to see the cell groups. Using SNN clustering (resolution = 0.5), we found 11 clusters. We grouped all tumor subsets together as "Tumor cell," but kept the specific names for normal cell types. We checked marker genes like POU1F1 to confirm the tumor types.</w:t>
      </w:r>
    </w:p>
    <w:sectPr>
      <w:footerReference r:id="rId3" w:type="default"/>
      <w:pgSz w:w="11906" w:h="16838"/>
      <w:pgMar w:top="1440" w:right="1800" w:bottom="1440" w:left="180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Regular">
    <w:altName w:val="Times New Roman"/>
    <w:panose1 w:val="00000000000000000000"/>
    <w:charset w:val="00"/>
    <w:family w:val="auto"/>
    <w:pitch w:val="default"/>
    <w:sig w:usb0="00000000" w:usb1="00000000"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7486F3">
    <w:pPr>
      <w:pStyle w:val="4"/>
      <w:jc w:val="right"/>
    </w:pPr>
    <w:r>
      <w:fldChar w:fldCharType="begin"/>
    </w:r>
    <w:r>
      <w:instrText xml:space="preserve">PAGE   \* MERGEFORMAT</w:instrText>
    </w:r>
    <w:r>
      <w:fldChar w:fldCharType="separate"/>
    </w:r>
    <w:r>
      <w:rPr>
        <w:lang w:val="de-DE"/>
      </w:rPr>
      <w:t>6</w:t>
    </w:r>
    <w:r>
      <w:fldChar w:fldCharType="end"/>
    </w:r>
  </w:p>
  <w:p w14:paraId="7C69F602">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D97A2B7"/>
    <w:multiLevelType w:val="singleLevel"/>
    <w:tmpl w:val="CD97A2B7"/>
    <w:lvl w:ilvl="0" w:tentative="0">
      <w:start w:val="6"/>
      <w:numFmt w:val="decimal"/>
      <w:suff w:val="space"/>
      <w:lvlText w:val="%1."/>
      <w:lvlJc w:val="left"/>
    </w:lvl>
  </w:abstractNum>
  <w:abstractNum w:abstractNumId="1">
    <w:nsid w:val="298E18E8"/>
    <w:multiLevelType w:val="singleLevel"/>
    <w:tmpl w:val="298E18E8"/>
    <w:lvl w:ilvl="0" w:tentative="0">
      <w:start w:val="4"/>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172A27"/>
    <w:rsid w:val="004E0863"/>
    <w:rsid w:val="007A6F63"/>
    <w:rsid w:val="007D4CC4"/>
    <w:rsid w:val="008953F8"/>
    <w:rsid w:val="008E2A0E"/>
    <w:rsid w:val="00954159"/>
    <w:rsid w:val="0096312A"/>
    <w:rsid w:val="00C81710"/>
    <w:rsid w:val="00E32D5A"/>
    <w:rsid w:val="00E33580"/>
    <w:rsid w:val="00FC206D"/>
    <w:rsid w:val="011473B7"/>
    <w:rsid w:val="01374E54"/>
    <w:rsid w:val="017D4F5C"/>
    <w:rsid w:val="01B34E22"/>
    <w:rsid w:val="01CC5EE4"/>
    <w:rsid w:val="02D7069C"/>
    <w:rsid w:val="02F76F90"/>
    <w:rsid w:val="03092820"/>
    <w:rsid w:val="03A10CAA"/>
    <w:rsid w:val="0422003D"/>
    <w:rsid w:val="04A24CDA"/>
    <w:rsid w:val="04B74C29"/>
    <w:rsid w:val="04DE21B6"/>
    <w:rsid w:val="04FA68C4"/>
    <w:rsid w:val="050F15EC"/>
    <w:rsid w:val="059E1945"/>
    <w:rsid w:val="06053772"/>
    <w:rsid w:val="06400C4E"/>
    <w:rsid w:val="065F7326"/>
    <w:rsid w:val="06E415DA"/>
    <w:rsid w:val="06EF7070"/>
    <w:rsid w:val="071D4AEC"/>
    <w:rsid w:val="073A38EF"/>
    <w:rsid w:val="07666493"/>
    <w:rsid w:val="078057A6"/>
    <w:rsid w:val="078132CC"/>
    <w:rsid w:val="07AC659B"/>
    <w:rsid w:val="07B54D24"/>
    <w:rsid w:val="07CD206E"/>
    <w:rsid w:val="07D93108"/>
    <w:rsid w:val="08670714"/>
    <w:rsid w:val="0898267C"/>
    <w:rsid w:val="08A07782"/>
    <w:rsid w:val="08D833C0"/>
    <w:rsid w:val="08F17FDE"/>
    <w:rsid w:val="08FD2E27"/>
    <w:rsid w:val="09A53C26"/>
    <w:rsid w:val="09A92667"/>
    <w:rsid w:val="09C86F91"/>
    <w:rsid w:val="09EE394E"/>
    <w:rsid w:val="09F77876"/>
    <w:rsid w:val="0A426D43"/>
    <w:rsid w:val="0AD96F7B"/>
    <w:rsid w:val="0B270413"/>
    <w:rsid w:val="0B5036E2"/>
    <w:rsid w:val="0BB2614A"/>
    <w:rsid w:val="0BD7170D"/>
    <w:rsid w:val="0BD75BB1"/>
    <w:rsid w:val="0BDC6D23"/>
    <w:rsid w:val="0C122745"/>
    <w:rsid w:val="0C450D6C"/>
    <w:rsid w:val="0C4B5C57"/>
    <w:rsid w:val="0C874EE1"/>
    <w:rsid w:val="0CC872A8"/>
    <w:rsid w:val="0CF54541"/>
    <w:rsid w:val="0D63594E"/>
    <w:rsid w:val="0D6A5091"/>
    <w:rsid w:val="0D6B65B1"/>
    <w:rsid w:val="0D6C33A5"/>
    <w:rsid w:val="0D86163D"/>
    <w:rsid w:val="0DB00467"/>
    <w:rsid w:val="0DE40111"/>
    <w:rsid w:val="0DE95727"/>
    <w:rsid w:val="0E370B89"/>
    <w:rsid w:val="0E5B6625"/>
    <w:rsid w:val="0F0C791F"/>
    <w:rsid w:val="0FA933C0"/>
    <w:rsid w:val="10042CED"/>
    <w:rsid w:val="10437371"/>
    <w:rsid w:val="10596B94"/>
    <w:rsid w:val="10A5627E"/>
    <w:rsid w:val="10B65D95"/>
    <w:rsid w:val="10C1473A"/>
    <w:rsid w:val="11021930"/>
    <w:rsid w:val="112B3C95"/>
    <w:rsid w:val="112F5B47"/>
    <w:rsid w:val="116C28F7"/>
    <w:rsid w:val="11812847"/>
    <w:rsid w:val="118E6D12"/>
    <w:rsid w:val="11BB73DB"/>
    <w:rsid w:val="128679E9"/>
    <w:rsid w:val="129640D0"/>
    <w:rsid w:val="12EA7F78"/>
    <w:rsid w:val="12FD22D6"/>
    <w:rsid w:val="12FF9052"/>
    <w:rsid w:val="13337B71"/>
    <w:rsid w:val="136B3A74"/>
    <w:rsid w:val="139323BD"/>
    <w:rsid w:val="13A75E69"/>
    <w:rsid w:val="13AD6B87"/>
    <w:rsid w:val="13D824C6"/>
    <w:rsid w:val="13E76BAD"/>
    <w:rsid w:val="13EE1CEA"/>
    <w:rsid w:val="13F37300"/>
    <w:rsid w:val="145E0C1D"/>
    <w:rsid w:val="147E4E1C"/>
    <w:rsid w:val="149363ED"/>
    <w:rsid w:val="153C0833"/>
    <w:rsid w:val="158A5A42"/>
    <w:rsid w:val="15C70A44"/>
    <w:rsid w:val="15F07F9B"/>
    <w:rsid w:val="16287735"/>
    <w:rsid w:val="16730284"/>
    <w:rsid w:val="16976668"/>
    <w:rsid w:val="170B2BB3"/>
    <w:rsid w:val="172A128B"/>
    <w:rsid w:val="172D0D7B"/>
    <w:rsid w:val="173165E0"/>
    <w:rsid w:val="17435EA8"/>
    <w:rsid w:val="17D17958"/>
    <w:rsid w:val="181D0DEF"/>
    <w:rsid w:val="183D4FEE"/>
    <w:rsid w:val="184A3267"/>
    <w:rsid w:val="18C0505C"/>
    <w:rsid w:val="18D771F0"/>
    <w:rsid w:val="193006AE"/>
    <w:rsid w:val="197131A1"/>
    <w:rsid w:val="197B401F"/>
    <w:rsid w:val="19A35324"/>
    <w:rsid w:val="19B94B48"/>
    <w:rsid w:val="19C84D8B"/>
    <w:rsid w:val="19E25E4D"/>
    <w:rsid w:val="19FF5E4F"/>
    <w:rsid w:val="1A7A6085"/>
    <w:rsid w:val="1AAC0209"/>
    <w:rsid w:val="1AB31597"/>
    <w:rsid w:val="1ABD41C4"/>
    <w:rsid w:val="1AD05CA5"/>
    <w:rsid w:val="1AD559B1"/>
    <w:rsid w:val="1B23671D"/>
    <w:rsid w:val="1B2B737F"/>
    <w:rsid w:val="1B60171F"/>
    <w:rsid w:val="1BD417C5"/>
    <w:rsid w:val="1BF9122C"/>
    <w:rsid w:val="1C3B5CE8"/>
    <w:rsid w:val="1CF77E61"/>
    <w:rsid w:val="1D344C11"/>
    <w:rsid w:val="1D682B0D"/>
    <w:rsid w:val="1D8B05A9"/>
    <w:rsid w:val="1D99195E"/>
    <w:rsid w:val="1DDE4B7D"/>
    <w:rsid w:val="1DEF28E6"/>
    <w:rsid w:val="1E05210A"/>
    <w:rsid w:val="1F176598"/>
    <w:rsid w:val="1F1A3993"/>
    <w:rsid w:val="1F30765A"/>
    <w:rsid w:val="1F501AAA"/>
    <w:rsid w:val="20075ED5"/>
    <w:rsid w:val="202A5E57"/>
    <w:rsid w:val="20B120D5"/>
    <w:rsid w:val="210C37AF"/>
    <w:rsid w:val="211508B6"/>
    <w:rsid w:val="211F7986"/>
    <w:rsid w:val="217C6B87"/>
    <w:rsid w:val="21D50045"/>
    <w:rsid w:val="2255414F"/>
    <w:rsid w:val="2265761B"/>
    <w:rsid w:val="22717D6E"/>
    <w:rsid w:val="22821F7B"/>
    <w:rsid w:val="22873A35"/>
    <w:rsid w:val="22A55C69"/>
    <w:rsid w:val="22B1460E"/>
    <w:rsid w:val="23360FB7"/>
    <w:rsid w:val="23616034"/>
    <w:rsid w:val="238910E7"/>
    <w:rsid w:val="23955CDE"/>
    <w:rsid w:val="23DC56BB"/>
    <w:rsid w:val="2455546D"/>
    <w:rsid w:val="248D10AB"/>
    <w:rsid w:val="248F4E23"/>
    <w:rsid w:val="249E5066"/>
    <w:rsid w:val="24F66C50"/>
    <w:rsid w:val="25233E8D"/>
    <w:rsid w:val="25457290"/>
    <w:rsid w:val="25627E42"/>
    <w:rsid w:val="257858B7"/>
    <w:rsid w:val="25A2704B"/>
    <w:rsid w:val="25AB7A3A"/>
    <w:rsid w:val="25B368EF"/>
    <w:rsid w:val="25C603D0"/>
    <w:rsid w:val="25F07BA6"/>
    <w:rsid w:val="261F3F85"/>
    <w:rsid w:val="26211AAB"/>
    <w:rsid w:val="26A821CC"/>
    <w:rsid w:val="26B11081"/>
    <w:rsid w:val="26D44D6F"/>
    <w:rsid w:val="27A110F5"/>
    <w:rsid w:val="27AC35F6"/>
    <w:rsid w:val="27F42D1C"/>
    <w:rsid w:val="27FF5545"/>
    <w:rsid w:val="28213FE4"/>
    <w:rsid w:val="28481571"/>
    <w:rsid w:val="284877C3"/>
    <w:rsid w:val="285E0D94"/>
    <w:rsid w:val="286456C1"/>
    <w:rsid w:val="289B1FE8"/>
    <w:rsid w:val="28E079FB"/>
    <w:rsid w:val="291C47AB"/>
    <w:rsid w:val="29CC6CA4"/>
    <w:rsid w:val="2A1D07DB"/>
    <w:rsid w:val="2A224043"/>
    <w:rsid w:val="2A8231BA"/>
    <w:rsid w:val="2ACB0237"/>
    <w:rsid w:val="2AE35581"/>
    <w:rsid w:val="2B035C23"/>
    <w:rsid w:val="2B22254D"/>
    <w:rsid w:val="2BBD2276"/>
    <w:rsid w:val="2BEC2B5B"/>
    <w:rsid w:val="2C077995"/>
    <w:rsid w:val="2C26606D"/>
    <w:rsid w:val="2C324A12"/>
    <w:rsid w:val="2C8763E0"/>
    <w:rsid w:val="2CA23219"/>
    <w:rsid w:val="2CC82C80"/>
    <w:rsid w:val="2CD86C3B"/>
    <w:rsid w:val="2CF63C91"/>
    <w:rsid w:val="2D8C63A3"/>
    <w:rsid w:val="2D957F46"/>
    <w:rsid w:val="2DA3549B"/>
    <w:rsid w:val="2DD41AF8"/>
    <w:rsid w:val="2E1F0FC6"/>
    <w:rsid w:val="2E450300"/>
    <w:rsid w:val="2E6D7F83"/>
    <w:rsid w:val="2ED578D6"/>
    <w:rsid w:val="2F0361F1"/>
    <w:rsid w:val="2F171C9D"/>
    <w:rsid w:val="2F7B66D0"/>
    <w:rsid w:val="2FD951A4"/>
    <w:rsid w:val="30354AD0"/>
    <w:rsid w:val="304A7E50"/>
    <w:rsid w:val="304C1E1A"/>
    <w:rsid w:val="307153DD"/>
    <w:rsid w:val="30874C00"/>
    <w:rsid w:val="30913CD1"/>
    <w:rsid w:val="30A9101A"/>
    <w:rsid w:val="30B023A9"/>
    <w:rsid w:val="30E402A4"/>
    <w:rsid w:val="30E42053"/>
    <w:rsid w:val="31307046"/>
    <w:rsid w:val="314174A5"/>
    <w:rsid w:val="317909ED"/>
    <w:rsid w:val="317F1A54"/>
    <w:rsid w:val="31815AF3"/>
    <w:rsid w:val="31A11CF2"/>
    <w:rsid w:val="31DB3455"/>
    <w:rsid w:val="31F44517"/>
    <w:rsid w:val="324E12A6"/>
    <w:rsid w:val="3253123E"/>
    <w:rsid w:val="32544FB6"/>
    <w:rsid w:val="3281224F"/>
    <w:rsid w:val="32827D75"/>
    <w:rsid w:val="329A50BF"/>
    <w:rsid w:val="32BB5035"/>
    <w:rsid w:val="32D14858"/>
    <w:rsid w:val="32FF3174"/>
    <w:rsid w:val="3330332D"/>
    <w:rsid w:val="33704071"/>
    <w:rsid w:val="341113B0"/>
    <w:rsid w:val="34313801"/>
    <w:rsid w:val="3454129D"/>
    <w:rsid w:val="34BF2BBB"/>
    <w:rsid w:val="357F059C"/>
    <w:rsid w:val="359A7184"/>
    <w:rsid w:val="35A26038"/>
    <w:rsid w:val="35C16E06"/>
    <w:rsid w:val="35F54629"/>
    <w:rsid w:val="361A2073"/>
    <w:rsid w:val="364C2B74"/>
    <w:rsid w:val="36745C27"/>
    <w:rsid w:val="369167D9"/>
    <w:rsid w:val="36B85B13"/>
    <w:rsid w:val="370F76FD"/>
    <w:rsid w:val="374B2E2B"/>
    <w:rsid w:val="377D0B0B"/>
    <w:rsid w:val="3781684D"/>
    <w:rsid w:val="37DE77FC"/>
    <w:rsid w:val="387939C8"/>
    <w:rsid w:val="38B7004D"/>
    <w:rsid w:val="390908A8"/>
    <w:rsid w:val="390B631C"/>
    <w:rsid w:val="392E030F"/>
    <w:rsid w:val="3958538C"/>
    <w:rsid w:val="39893797"/>
    <w:rsid w:val="39CB6478"/>
    <w:rsid w:val="39DA3FF3"/>
    <w:rsid w:val="39DB5260"/>
    <w:rsid w:val="3A2160C5"/>
    <w:rsid w:val="3A946897"/>
    <w:rsid w:val="3AC30F2B"/>
    <w:rsid w:val="3B840969"/>
    <w:rsid w:val="3BB20551"/>
    <w:rsid w:val="3BCC3E0F"/>
    <w:rsid w:val="3BE178BA"/>
    <w:rsid w:val="3BE8202F"/>
    <w:rsid w:val="3C123F18"/>
    <w:rsid w:val="3C1F6635"/>
    <w:rsid w:val="3C364ABE"/>
    <w:rsid w:val="3C577B7C"/>
    <w:rsid w:val="3CB62E30"/>
    <w:rsid w:val="3D491BBB"/>
    <w:rsid w:val="3DA23079"/>
    <w:rsid w:val="3E135D25"/>
    <w:rsid w:val="3E1A70B4"/>
    <w:rsid w:val="3E2919ED"/>
    <w:rsid w:val="3E5231A0"/>
    <w:rsid w:val="3E594080"/>
    <w:rsid w:val="3F057D64"/>
    <w:rsid w:val="3F0F473E"/>
    <w:rsid w:val="3F512FA9"/>
    <w:rsid w:val="3FFB07DD"/>
    <w:rsid w:val="401A339B"/>
    <w:rsid w:val="407056B1"/>
    <w:rsid w:val="4081341A"/>
    <w:rsid w:val="40860A30"/>
    <w:rsid w:val="40F462E2"/>
    <w:rsid w:val="41265D6F"/>
    <w:rsid w:val="41DF2AEE"/>
    <w:rsid w:val="4205007B"/>
    <w:rsid w:val="42B408BE"/>
    <w:rsid w:val="4310008B"/>
    <w:rsid w:val="43574906"/>
    <w:rsid w:val="43DE0B83"/>
    <w:rsid w:val="43E56550"/>
    <w:rsid w:val="44150A49"/>
    <w:rsid w:val="446F7A2D"/>
    <w:rsid w:val="44C61D43"/>
    <w:rsid w:val="450665E4"/>
    <w:rsid w:val="454113CA"/>
    <w:rsid w:val="4588349D"/>
    <w:rsid w:val="45CC6013"/>
    <w:rsid w:val="45F4468E"/>
    <w:rsid w:val="45FB77C0"/>
    <w:rsid w:val="46674E60"/>
    <w:rsid w:val="46911EDD"/>
    <w:rsid w:val="46A766EC"/>
    <w:rsid w:val="46CB3641"/>
    <w:rsid w:val="46E110B6"/>
    <w:rsid w:val="47084895"/>
    <w:rsid w:val="478607E6"/>
    <w:rsid w:val="47CC0623"/>
    <w:rsid w:val="47F609B5"/>
    <w:rsid w:val="481334F1"/>
    <w:rsid w:val="48482A6F"/>
    <w:rsid w:val="48561630"/>
    <w:rsid w:val="486024AF"/>
    <w:rsid w:val="48B30830"/>
    <w:rsid w:val="48DB38E3"/>
    <w:rsid w:val="48E1714C"/>
    <w:rsid w:val="4948541D"/>
    <w:rsid w:val="49831FB1"/>
    <w:rsid w:val="4A1B668D"/>
    <w:rsid w:val="4A4E6A63"/>
    <w:rsid w:val="4A5E657A"/>
    <w:rsid w:val="4A914BA1"/>
    <w:rsid w:val="4B0233A9"/>
    <w:rsid w:val="4B0B04B0"/>
    <w:rsid w:val="4B0E61F2"/>
    <w:rsid w:val="4B3F0159"/>
    <w:rsid w:val="4B4255EA"/>
    <w:rsid w:val="4B50680B"/>
    <w:rsid w:val="4B667DDC"/>
    <w:rsid w:val="4BE8259F"/>
    <w:rsid w:val="4C0B44E0"/>
    <w:rsid w:val="4C164049"/>
    <w:rsid w:val="4C4874E2"/>
    <w:rsid w:val="4C612351"/>
    <w:rsid w:val="4C7B3413"/>
    <w:rsid w:val="4C8229F4"/>
    <w:rsid w:val="4C871DB8"/>
    <w:rsid w:val="4CC90623"/>
    <w:rsid w:val="4CDB65A8"/>
    <w:rsid w:val="4DEFB8C0"/>
    <w:rsid w:val="4E105DDD"/>
    <w:rsid w:val="4E5263F6"/>
    <w:rsid w:val="4E915170"/>
    <w:rsid w:val="4EA053B3"/>
    <w:rsid w:val="4EB15812"/>
    <w:rsid w:val="4EB946C7"/>
    <w:rsid w:val="4ED82D9F"/>
    <w:rsid w:val="4EDB63EB"/>
    <w:rsid w:val="4F337FD5"/>
    <w:rsid w:val="4F4C553B"/>
    <w:rsid w:val="50067498"/>
    <w:rsid w:val="505F4B58"/>
    <w:rsid w:val="50760AC1"/>
    <w:rsid w:val="50A0169A"/>
    <w:rsid w:val="50A76ECD"/>
    <w:rsid w:val="50FB0FC7"/>
    <w:rsid w:val="51134562"/>
    <w:rsid w:val="514E10F6"/>
    <w:rsid w:val="51A11B6E"/>
    <w:rsid w:val="51A96C75"/>
    <w:rsid w:val="51BD002A"/>
    <w:rsid w:val="51F55A16"/>
    <w:rsid w:val="52833022"/>
    <w:rsid w:val="52EC6E19"/>
    <w:rsid w:val="53035F10"/>
    <w:rsid w:val="530C1269"/>
    <w:rsid w:val="53803A05"/>
    <w:rsid w:val="53B35B89"/>
    <w:rsid w:val="53B84F4D"/>
    <w:rsid w:val="53F341D7"/>
    <w:rsid w:val="542E16B3"/>
    <w:rsid w:val="544D38E7"/>
    <w:rsid w:val="545855A0"/>
    <w:rsid w:val="54996B2C"/>
    <w:rsid w:val="54A656ED"/>
    <w:rsid w:val="567E6730"/>
    <w:rsid w:val="56D57BC4"/>
    <w:rsid w:val="57142CA4"/>
    <w:rsid w:val="57193F55"/>
    <w:rsid w:val="57435475"/>
    <w:rsid w:val="575136EE"/>
    <w:rsid w:val="57945CD1"/>
    <w:rsid w:val="57BB500C"/>
    <w:rsid w:val="57CE11E3"/>
    <w:rsid w:val="583628E4"/>
    <w:rsid w:val="58382B00"/>
    <w:rsid w:val="58445001"/>
    <w:rsid w:val="585F62DF"/>
    <w:rsid w:val="58E95F87"/>
    <w:rsid w:val="59205A6E"/>
    <w:rsid w:val="59462FFB"/>
    <w:rsid w:val="5A074538"/>
    <w:rsid w:val="5A8738CB"/>
    <w:rsid w:val="5A8E2EAB"/>
    <w:rsid w:val="5B1C04B7"/>
    <w:rsid w:val="5B4E614E"/>
    <w:rsid w:val="5B687259"/>
    <w:rsid w:val="5B6F3FE4"/>
    <w:rsid w:val="5C381321"/>
    <w:rsid w:val="5C902F0B"/>
    <w:rsid w:val="5CCE57E1"/>
    <w:rsid w:val="5D1E0517"/>
    <w:rsid w:val="5D443CF5"/>
    <w:rsid w:val="5D814602"/>
    <w:rsid w:val="5D8B722E"/>
    <w:rsid w:val="5D8F6D1E"/>
    <w:rsid w:val="5DA51E56"/>
    <w:rsid w:val="5DCC20E0"/>
    <w:rsid w:val="5DDE3802"/>
    <w:rsid w:val="5E40626B"/>
    <w:rsid w:val="5E6A4A0C"/>
    <w:rsid w:val="5E9D546B"/>
    <w:rsid w:val="5F1119B5"/>
    <w:rsid w:val="5F526256"/>
    <w:rsid w:val="5F9C5723"/>
    <w:rsid w:val="5FA56CCD"/>
    <w:rsid w:val="5FB7A2C5"/>
    <w:rsid w:val="5FDF076C"/>
    <w:rsid w:val="608C5797"/>
    <w:rsid w:val="60912DAE"/>
    <w:rsid w:val="60996106"/>
    <w:rsid w:val="60BF3DBF"/>
    <w:rsid w:val="61047A23"/>
    <w:rsid w:val="614222FA"/>
    <w:rsid w:val="615D0EE2"/>
    <w:rsid w:val="61BA4CBE"/>
    <w:rsid w:val="621A680A"/>
    <w:rsid w:val="628D3A49"/>
    <w:rsid w:val="62A768B8"/>
    <w:rsid w:val="63041F5D"/>
    <w:rsid w:val="63100901"/>
    <w:rsid w:val="63212B0F"/>
    <w:rsid w:val="639C3F43"/>
    <w:rsid w:val="642503DD"/>
    <w:rsid w:val="649015CE"/>
    <w:rsid w:val="64AC28AC"/>
    <w:rsid w:val="64FB738F"/>
    <w:rsid w:val="6502071E"/>
    <w:rsid w:val="651B358E"/>
    <w:rsid w:val="656211BC"/>
    <w:rsid w:val="657F58CB"/>
    <w:rsid w:val="65F70696"/>
    <w:rsid w:val="662B7800"/>
    <w:rsid w:val="66456B14"/>
    <w:rsid w:val="66C57C55"/>
    <w:rsid w:val="672229B1"/>
    <w:rsid w:val="674A015A"/>
    <w:rsid w:val="67587A14"/>
    <w:rsid w:val="67B6134C"/>
    <w:rsid w:val="67C1666E"/>
    <w:rsid w:val="67C25F42"/>
    <w:rsid w:val="67D068B1"/>
    <w:rsid w:val="67F81964"/>
    <w:rsid w:val="680227E3"/>
    <w:rsid w:val="68A11271"/>
    <w:rsid w:val="68D0643D"/>
    <w:rsid w:val="68E32614"/>
    <w:rsid w:val="68F6059A"/>
    <w:rsid w:val="68FA2F9E"/>
    <w:rsid w:val="6903165C"/>
    <w:rsid w:val="691B1DAE"/>
    <w:rsid w:val="692C7B17"/>
    <w:rsid w:val="695452C0"/>
    <w:rsid w:val="698C6808"/>
    <w:rsid w:val="69CE0BCF"/>
    <w:rsid w:val="69E76134"/>
    <w:rsid w:val="6A211646"/>
    <w:rsid w:val="6A590DE0"/>
    <w:rsid w:val="6A6D03E7"/>
    <w:rsid w:val="6A753740"/>
    <w:rsid w:val="6A955B90"/>
    <w:rsid w:val="6AB44BE2"/>
    <w:rsid w:val="6AC00E5F"/>
    <w:rsid w:val="6AD62431"/>
    <w:rsid w:val="6AF02DC7"/>
    <w:rsid w:val="6B23319C"/>
    <w:rsid w:val="6B3B2294"/>
    <w:rsid w:val="6B594E10"/>
    <w:rsid w:val="6B601CFA"/>
    <w:rsid w:val="6B9B2D32"/>
    <w:rsid w:val="6B9C3C85"/>
    <w:rsid w:val="6BA75B7B"/>
    <w:rsid w:val="6BC04E8F"/>
    <w:rsid w:val="6BCA3618"/>
    <w:rsid w:val="6C9B5BA7"/>
    <w:rsid w:val="6CE4695B"/>
    <w:rsid w:val="6D0019E7"/>
    <w:rsid w:val="6D090170"/>
    <w:rsid w:val="6D77332B"/>
    <w:rsid w:val="6D943EDD"/>
    <w:rsid w:val="6DE50BDD"/>
    <w:rsid w:val="6DFF2CEB"/>
    <w:rsid w:val="6E056B89"/>
    <w:rsid w:val="6E396833"/>
    <w:rsid w:val="6E4476B1"/>
    <w:rsid w:val="6FFF9E98"/>
    <w:rsid w:val="700215D2"/>
    <w:rsid w:val="70903082"/>
    <w:rsid w:val="714A1482"/>
    <w:rsid w:val="714D2D21"/>
    <w:rsid w:val="72077373"/>
    <w:rsid w:val="7218332F"/>
    <w:rsid w:val="72A9042B"/>
    <w:rsid w:val="73886E83"/>
    <w:rsid w:val="73DA7425"/>
    <w:rsid w:val="746A5998"/>
    <w:rsid w:val="7499002B"/>
    <w:rsid w:val="74CA6436"/>
    <w:rsid w:val="758331B5"/>
    <w:rsid w:val="75CB4B5C"/>
    <w:rsid w:val="75E35A02"/>
    <w:rsid w:val="76200A04"/>
    <w:rsid w:val="76AE0B32"/>
    <w:rsid w:val="76F3446C"/>
    <w:rsid w:val="77185A8F"/>
    <w:rsid w:val="776E39F1"/>
    <w:rsid w:val="777059BB"/>
    <w:rsid w:val="77764653"/>
    <w:rsid w:val="77F7EF62"/>
    <w:rsid w:val="781A76D5"/>
    <w:rsid w:val="78422C86"/>
    <w:rsid w:val="784529A4"/>
    <w:rsid w:val="784B788E"/>
    <w:rsid w:val="78B97540"/>
    <w:rsid w:val="790C1713"/>
    <w:rsid w:val="7936053E"/>
    <w:rsid w:val="79984D55"/>
    <w:rsid w:val="799C4845"/>
    <w:rsid w:val="7A26781D"/>
    <w:rsid w:val="7AC35E02"/>
    <w:rsid w:val="7B166879"/>
    <w:rsid w:val="7BD52290"/>
    <w:rsid w:val="7C4D1E27"/>
    <w:rsid w:val="7C855314"/>
    <w:rsid w:val="7D58F7D2"/>
    <w:rsid w:val="7D7FC869"/>
    <w:rsid w:val="7DAB14FB"/>
    <w:rsid w:val="7DDD71DA"/>
    <w:rsid w:val="7E5E6F12"/>
    <w:rsid w:val="7ED93E46"/>
    <w:rsid w:val="7F08472B"/>
    <w:rsid w:val="7F1C1F84"/>
    <w:rsid w:val="7F820039"/>
    <w:rsid w:val="7FAC155A"/>
    <w:rsid w:val="7FE74340"/>
    <w:rsid w:val="7FEA5BDF"/>
    <w:rsid w:val="ADFBC363"/>
    <w:rsid w:val="AEF53E6A"/>
    <w:rsid w:val="AF3FF92B"/>
    <w:rsid w:val="B7CF371A"/>
    <w:rsid w:val="BF5F521C"/>
    <w:rsid w:val="C3FFCA23"/>
    <w:rsid w:val="D35B70D9"/>
    <w:rsid w:val="DF2FDFB3"/>
    <w:rsid w:val="E42FB2FF"/>
    <w:rsid w:val="EB23A6C3"/>
    <w:rsid w:val="F3FB5CF0"/>
    <w:rsid w:val="FCAE54D2"/>
    <w:rsid w:val="FFDB70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2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name="annotation reference"/>
    <w:lsdException w:qFormat="1"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2"/>
    <w:qFormat/>
    <w:uiPriority w:val="20"/>
    <w:pPr>
      <w:adjustRightInd w:val="0"/>
      <w:snapToGrid w:val="0"/>
      <w:jc w:val="left"/>
    </w:pPr>
    <w:rPr>
      <w:rFonts w:ascii="Times New Roman" w:hAnsi="Times New Roman" w:eastAsia="Times New Roman" w:cs="Times New Roman"/>
      <w:kern w:val="0"/>
      <w:szCs w:val="21"/>
      <w:lang w:eastAsia="es-ES"/>
    </w:rPr>
  </w:style>
  <w:style w:type="paragraph" w:styleId="3">
    <w:name w:val="Balloon Text"/>
    <w:basedOn w:val="1"/>
    <w:link w:val="14"/>
    <w:qFormat/>
    <w:uiPriority w:val="0"/>
    <w:rPr>
      <w:sz w:val="18"/>
      <w:szCs w:val="18"/>
    </w:rPr>
  </w:style>
  <w:style w:type="paragraph" w:styleId="4">
    <w:name w:val="footer"/>
    <w:basedOn w:val="1"/>
    <w:unhideWhenUsed/>
    <w:qFormat/>
    <w:uiPriority w:val="99"/>
    <w:pPr>
      <w:tabs>
        <w:tab w:val="center" w:pos="4536"/>
        <w:tab w:val="right" w:pos="9072"/>
      </w:tabs>
    </w:pPr>
  </w:style>
  <w:style w:type="paragraph" w:styleId="5">
    <w:name w:val="annotation subject"/>
    <w:basedOn w:val="2"/>
    <w:next w:val="2"/>
    <w:link w:val="13"/>
    <w:qFormat/>
    <w:uiPriority w:val="0"/>
    <w:pPr>
      <w:adjustRightInd/>
      <w:snapToGrid/>
    </w:pPr>
    <w:rPr>
      <w:rFonts w:asciiTheme="minorHAnsi" w:hAnsiTheme="minorHAnsi" w:eastAsiaTheme="minorEastAsia" w:cstheme="minorBidi"/>
      <w:b/>
      <w:bCs/>
      <w:kern w:val="2"/>
      <w:szCs w:val="24"/>
      <w:lang w:eastAsia="zh-CN"/>
    </w:rPr>
  </w:style>
  <w:style w:type="character" w:styleId="8">
    <w:name w:val="line number"/>
    <w:basedOn w:val="7"/>
    <w:qFormat/>
    <w:uiPriority w:val="0"/>
  </w:style>
  <w:style w:type="character" w:styleId="9">
    <w:name w:val="annotation reference"/>
    <w:basedOn w:val="7"/>
    <w:semiHidden/>
    <w:qFormat/>
    <w:uiPriority w:val="99"/>
    <w:rPr>
      <w:sz w:val="21"/>
      <w:szCs w:val="21"/>
    </w:rPr>
  </w:style>
  <w:style w:type="paragraph" w:customStyle="1" w:styleId="10">
    <w:name w:val="Authornames"/>
    <w:next w:val="1"/>
    <w:qFormat/>
    <w:uiPriority w:val="2"/>
    <w:pPr>
      <w:jc w:val="both"/>
    </w:pPr>
    <w:rPr>
      <w:rFonts w:ascii="Times New Roman" w:hAnsi="Times New Roman" w:eastAsia="Times New Roman" w:cs="Times New Roman"/>
      <w:color w:val="000000"/>
      <w:sz w:val="21"/>
      <w:szCs w:val="21"/>
      <w:lang w:val="en-US" w:eastAsia="de-DE" w:bidi="en-US"/>
    </w:rPr>
  </w:style>
  <w:style w:type="paragraph" w:customStyle="1" w:styleId="11">
    <w:name w:val="Affiliation"/>
    <w:qFormat/>
    <w:uiPriority w:val="3"/>
    <w:pPr>
      <w:jc w:val="both"/>
    </w:pPr>
    <w:rPr>
      <w:rFonts w:ascii="Times New Roman" w:hAnsi="Times New Roman" w:eastAsia="Times New Roman" w:cs="Times New Roman"/>
      <w:color w:val="000000"/>
      <w:sz w:val="21"/>
      <w:szCs w:val="21"/>
      <w:lang w:val="en-US" w:eastAsia="de-DE" w:bidi="en-US"/>
    </w:rPr>
  </w:style>
  <w:style w:type="character" w:customStyle="1" w:styleId="12">
    <w:name w:val="批注文字 字符"/>
    <w:basedOn w:val="7"/>
    <w:link w:val="2"/>
    <w:qFormat/>
    <w:uiPriority w:val="20"/>
    <w:rPr>
      <w:rFonts w:eastAsia="Times New Roman"/>
      <w:sz w:val="21"/>
      <w:szCs w:val="21"/>
      <w:lang w:eastAsia="es-ES"/>
    </w:rPr>
  </w:style>
  <w:style w:type="character" w:customStyle="1" w:styleId="13">
    <w:name w:val="批注主题 字符"/>
    <w:basedOn w:val="12"/>
    <w:link w:val="5"/>
    <w:qFormat/>
    <w:uiPriority w:val="0"/>
    <w:rPr>
      <w:rFonts w:asciiTheme="minorHAnsi" w:hAnsiTheme="minorHAnsi" w:eastAsiaTheme="minorEastAsia" w:cstheme="minorBidi"/>
      <w:b/>
      <w:bCs/>
      <w:kern w:val="2"/>
      <w:sz w:val="21"/>
      <w:szCs w:val="24"/>
      <w:lang w:eastAsia="es-ES"/>
    </w:rPr>
  </w:style>
  <w:style w:type="character" w:customStyle="1" w:styleId="14">
    <w:name w:val="批注框文本 字符"/>
    <w:basedOn w:val="7"/>
    <w:link w:val="3"/>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4.tiff"/><Relationship Id="rId7" Type="http://schemas.openxmlformats.org/officeDocument/2006/relationships/image" Target="media/image3.tiff"/><Relationship Id="rId6" Type="http://schemas.openxmlformats.org/officeDocument/2006/relationships/image" Target="media/image2.tiff"/><Relationship Id="rId5" Type="http://schemas.openxmlformats.org/officeDocument/2006/relationships/image" Target="media/image1.tiff"/><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Pages>
  <Words>1253</Words>
  <Characters>7528</Characters>
  <Lines>67</Lines>
  <Paragraphs>19</Paragraphs>
  <TotalTime>193</TotalTime>
  <ScaleCrop>false</ScaleCrop>
  <LinksUpToDate>false</LinksUpToDate>
  <CharactersWithSpaces>8685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2025-03-10T16:41:00Z</dcterms:created>
  <dc:creator>Charlene</dc:creator>
  <cp:lastModifiedBy>FlfMueseYu</cp:lastModifiedBy>
  <dcterms:modified xsi:type="dcterms:W3CDTF">2026-05-08T06:41:58Z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476D7241D8AC4F58912FFBC2D9BBEE54_13</vt:lpwstr>
  </property>
  <property fmtid="{D5CDD505-2E9C-101B-9397-08002B2CF9AE}" pid="4" name="KSOTemplateDocerSaveRecord">
    <vt:lpwstr>eyJoZGlkIjoiNmUyZTY4OWMxOGYxNWVhNDk1OWRiYzllYzRlN2EyZWIiLCJ1c2VySWQiOiI0MTI3NTk0ODcifQ==</vt:lpwstr>
  </property>
  <property fmtid="{D5CDD505-2E9C-101B-9397-08002B2CF9AE}" pid="5" name="GrammarlyDocumentId">
    <vt:lpwstr>ed825f9a-0d48-4ba8-ad93-6a271e6531ee</vt:lpwstr>
  </property>
</Properties>
</file>